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Archivní číslo vzorku</w:t>
            </w:r>
          </w:p>
        </w:tc>
        <w:tc>
          <w:tcPr>
            <w:tcW w:w="5454" w:type="dxa"/>
          </w:tcPr>
          <w:p w:rsidR="0022194F" w:rsidRPr="00AB65E2" w:rsidRDefault="0022194F" w:rsidP="00AB65E2">
            <w:pPr>
              <w:rPr>
                <w:rFonts w:cstheme="minorHAnsi"/>
                <w:sz w:val="24"/>
                <w:szCs w:val="24"/>
              </w:rPr>
            </w:pP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 xml:space="preserve">Odběrové číslo vzorku </w:t>
            </w:r>
          </w:p>
        </w:tc>
        <w:tc>
          <w:tcPr>
            <w:tcW w:w="5454" w:type="dxa"/>
          </w:tcPr>
          <w:p w:rsidR="0022194F" w:rsidRPr="00AB65E2" w:rsidRDefault="00AB65E2" w:rsidP="00AB65E2">
            <w:pPr>
              <w:rPr>
                <w:rFonts w:cstheme="minorHAnsi"/>
                <w:sz w:val="24"/>
                <w:szCs w:val="24"/>
              </w:rPr>
            </w:pPr>
            <w:r>
              <w:rPr>
                <w:rFonts w:cstheme="minorHAnsi"/>
                <w:sz w:val="24"/>
                <w:szCs w:val="24"/>
              </w:rPr>
              <w:t>R1, R2, R3, OK1</w:t>
            </w:r>
            <w:bookmarkStart w:id="0" w:name="_GoBack"/>
            <w:bookmarkEnd w:id="0"/>
          </w:p>
        </w:tc>
      </w:tr>
      <w:tr w:rsidR="00AA48FC" w:rsidRPr="00AB65E2" w:rsidTr="00CF54D3">
        <w:tc>
          <w:tcPr>
            <w:tcW w:w="4606" w:type="dxa"/>
          </w:tcPr>
          <w:p w:rsidR="00AA48FC" w:rsidRPr="00AB65E2" w:rsidRDefault="00AA48FC" w:rsidP="00AB65E2">
            <w:pPr>
              <w:rPr>
                <w:rFonts w:cstheme="minorHAnsi"/>
                <w:b/>
                <w:sz w:val="24"/>
                <w:szCs w:val="24"/>
              </w:rPr>
            </w:pPr>
            <w:r w:rsidRPr="00AB65E2">
              <w:rPr>
                <w:rFonts w:cstheme="minorHAnsi"/>
                <w:b/>
                <w:sz w:val="24"/>
                <w:szCs w:val="24"/>
              </w:rPr>
              <w:t xml:space="preserve">Pořadové číslo karty vzorku v </w:t>
            </w:r>
            <w:r w:rsidR="000A6440" w:rsidRPr="00AB65E2">
              <w:rPr>
                <w:rFonts w:cstheme="minorHAnsi"/>
                <w:b/>
                <w:sz w:val="24"/>
                <w:szCs w:val="24"/>
              </w:rPr>
              <w:t>databázi</w:t>
            </w:r>
          </w:p>
        </w:tc>
        <w:tc>
          <w:tcPr>
            <w:tcW w:w="5454" w:type="dxa"/>
          </w:tcPr>
          <w:p w:rsidR="00AA48FC" w:rsidRPr="00AB65E2" w:rsidRDefault="00416E9F" w:rsidP="00AB65E2">
            <w:pPr>
              <w:rPr>
                <w:rFonts w:cstheme="minorHAnsi"/>
                <w:sz w:val="24"/>
                <w:szCs w:val="24"/>
              </w:rPr>
            </w:pPr>
            <w:r w:rsidRPr="00AB65E2">
              <w:rPr>
                <w:rFonts w:cstheme="minorHAnsi"/>
                <w:sz w:val="24"/>
                <w:szCs w:val="24"/>
              </w:rPr>
              <w:t>69</w:t>
            </w: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Místo</w:t>
            </w:r>
          </w:p>
        </w:tc>
        <w:tc>
          <w:tcPr>
            <w:tcW w:w="5454" w:type="dxa"/>
          </w:tcPr>
          <w:p w:rsidR="0022194F" w:rsidRPr="00AB65E2" w:rsidRDefault="00A370DB" w:rsidP="00AB65E2">
            <w:pPr>
              <w:rPr>
                <w:rFonts w:cstheme="minorHAnsi"/>
                <w:sz w:val="24"/>
                <w:szCs w:val="24"/>
              </w:rPr>
            </w:pPr>
            <w:r w:rsidRPr="00AB65E2">
              <w:rPr>
                <w:rFonts w:cstheme="minorHAnsi"/>
                <w:sz w:val="24"/>
                <w:szCs w:val="24"/>
              </w:rPr>
              <w:t>Litomyšl</w:t>
            </w: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Objekt</w:t>
            </w:r>
          </w:p>
        </w:tc>
        <w:tc>
          <w:tcPr>
            <w:tcW w:w="5454" w:type="dxa"/>
          </w:tcPr>
          <w:p w:rsidR="0022194F" w:rsidRPr="00AB65E2" w:rsidRDefault="00416E9F" w:rsidP="00AB65E2">
            <w:pPr>
              <w:rPr>
                <w:rFonts w:cstheme="minorHAnsi"/>
                <w:sz w:val="24"/>
                <w:szCs w:val="24"/>
              </w:rPr>
            </w:pPr>
            <w:r w:rsidRPr="00AB65E2">
              <w:rPr>
                <w:rFonts w:cstheme="minorHAnsi"/>
                <w:bCs/>
                <w:sz w:val="24"/>
                <w:szCs w:val="24"/>
              </w:rPr>
              <w:t>Piaristická kolej, Refektář</w:t>
            </w: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Místo odběru popis</w:t>
            </w:r>
          </w:p>
        </w:tc>
        <w:tc>
          <w:tcPr>
            <w:tcW w:w="5454" w:type="dxa"/>
          </w:tcPr>
          <w:p w:rsidR="00416E9F" w:rsidRPr="00AB65E2" w:rsidRDefault="00416E9F" w:rsidP="00AB65E2">
            <w:pPr>
              <w:rPr>
                <w:rFonts w:cstheme="minorHAnsi"/>
                <w:bCs/>
                <w:sz w:val="24"/>
                <w:szCs w:val="24"/>
              </w:rPr>
            </w:pPr>
            <w:r w:rsidRPr="00AB65E2">
              <w:rPr>
                <w:rFonts w:cstheme="minorHAnsi"/>
                <w:bCs/>
                <w:sz w:val="24"/>
                <w:szCs w:val="24"/>
              </w:rPr>
              <w:t>Refektář: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0"/>
              <w:gridCol w:w="1789"/>
              <w:gridCol w:w="1779"/>
            </w:tblGrid>
            <w:tr w:rsidR="00416E9F" w:rsidRPr="00AB65E2" w:rsidTr="00CE371D">
              <w:tblPrEx>
                <w:tblCellMar>
                  <w:top w:w="0" w:type="dxa"/>
                  <w:bottom w:w="0" w:type="dxa"/>
                </w:tblCellMar>
              </w:tblPrEx>
              <w:tc>
                <w:tcPr>
                  <w:tcW w:w="2835" w:type="dxa"/>
                </w:tcPr>
                <w:p w:rsidR="00416E9F" w:rsidRPr="00AB65E2" w:rsidRDefault="00416E9F" w:rsidP="00AB65E2">
                  <w:pPr>
                    <w:spacing w:line="240" w:lineRule="auto"/>
                    <w:jc w:val="center"/>
                    <w:rPr>
                      <w:rFonts w:cstheme="minorHAnsi"/>
                      <w:bCs/>
                      <w:i/>
                      <w:iCs/>
                      <w:sz w:val="24"/>
                      <w:szCs w:val="24"/>
                    </w:rPr>
                  </w:pPr>
                  <w:r w:rsidRPr="00AB65E2">
                    <w:rPr>
                      <w:rFonts w:cstheme="minorHAnsi"/>
                      <w:bCs/>
                      <w:i/>
                      <w:iCs/>
                      <w:sz w:val="24"/>
                      <w:szCs w:val="24"/>
                    </w:rPr>
                    <w:t xml:space="preserve">Vzorek </w:t>
                  </w:r>
                </w:p>
              </w:tc>
              <w:tc>
                <w:tcPr>
                  <w:tcW w:w="2835" w:type="dxa"/>
                </w:tcPr>
                <w:p w:rsidR="00416E9F" w:rsidRPr="00AB65E2" w:rsidRDefault="00416E9F" w:rsidP="00AB65E2">
                  <w:pPr>
                    <w:spacing w:line="240" w:lineRule="auto"/>
                    <w:jc w:val="center"/>
                    <w:rPr>
                      <w:rFonts w:cstheme="minorHAnsi"/>
                      <w:bCs/>
                      <w:i/>
                      <w:iCs/>
                      <w:sz w:val="24"/>
                      <w:szCs w:val="24"/>
                    </w:rPr>
                  </w:pPr>
                  <w:r w:rsidRPr="00AB65E2">
                    <w:rPr>
                      <w:rFonts w:cstheme="minorHAnsi"/>
                      <w:bCs/>
                      <w:i/>
                      <w:iCs/>
                      <w:sz w:val="24"/>
                      <w:szCs w:val="24"/>
                    </w:rPr>
                    <w:t>Místo odběru</w:t>
                  </w:r>
                </w:p>
              </w:tc>
              <w:tc>
                <w:tcPr>
                  <w:tcW w:w="2835" w:type="dxa"/>
                </w:tcPr>
                <w:p w:rsidR="00416E9F" w:rsidRPr="00AB65E2" w:rsidRDefault="00416E9F" w:rsidP="00AB65E2">
                  <w:pPr>
                    <w:spacing w:line="240" w:lineRule="auto"/>
                    <w:jc w:val="center"/>
                    <w:rPr>
                      <w:rFonts w:cstheme="minorHAnsi"/>
                      <w:bCs/>
                      <w:i/>
                      <w:iCs/>
                      <w:sz w:val="24"/>
                      <w:szCs w:val="24"/>
                    </w:rPr>
                  </w:pPr>
                  <w:r w:rsidRPr="00AB65E2">
                    <w:rPr>
                      <w:rFonts w:cstheme="minorHAnsi"/>
                      <w:bCs/>
                      <w:i/>
                      <w:iCs/>
                      <w:sz w:val="24"/>
                      <w:szCs w:val="24"/>
                    </w:rPr>
                    <w:t xml:space="preserve">množství vzorku </w:t>
                  </w:r>
                </w:p>
                <w:p w:rsidR="00416E9F" w:rsidRPr="00AB65E2" w:rsidRDefault="00416E9F" w:rsidP="00AB65E2">
                  <w:pPr>
                    <w:spacing w:line="240" w:lineRule="auto"/>
                    <w:jc w:val="center"/>
                    <w:rPr>
                      <w:rFonts w:cstheme="minorHAnsi"/>
                      <w:bCs/>
                      <w:i/>
                      <w:iCs/>
                      <w:sz w:val="24"/>
                      <w:szCs w:val="24"/>
                    </w:rPr>
                  </w:pPr>
                  <w:r w:rsidRPr="00AB65E2">
                    <w:rPr>
                      <w:rFonts w:cstheme="minorHAnsi"/>
                      <w:bCs/>
                      <w:i/>
                      <w:iCs/>
                      <w:sz w:val="24"/>
                      <w:szCs w:val="24"/>
                    </w:rPr>
                    <w:t>k analýze</w:t>
                  </w:r>
                </w:p>
              </w:tc>
            </w:tr>
            <w:tr w:rsidR="00416E9F" w:rsidRPr="00AB65E2" w:rsidTr="00CE371D">
              <w:tblPrEx>
                <w:tblCellMar>
                  <w:top w:w="0" w:type="dxa"/>
                  <w:bottom w:w="0" w:type="dxa"/>
                </w:tblCellMar>
              </w:tblPrEx>
              <w:tc>
                <w:tcPr>
                  <w:tcW w:w="2835" w:type="dxa"/>
                </w:tcPr>
                <w:p w:rsidR="00416E9F" w:rsidRPr="00AB65E2" w:rsidRDefault="00416E9F" w:rsidP="00AB65E2">
                  <w:pPr>
                    <w:pStyle w:val="Nadpis1"/>
                    <w:rPr>
                      <w:rFonts w:asciiTheme="minorHAnsi" w:hAnsiTheme="minorHAnsi" w:cstheme="minorHAnsi"/>
                      <w:b w:val="0"/>
                    </w:rPr>
                  </w:pPr>
                  <w:r w:rsidRPr="00AB65E2">
                    <w:rPr>
                      <w:rFonts w:asciiTheme="minorHAnsi" w:hAnsiTheme="minorHAnsi" w:cstheme="minorHAnsi"/>
                      <w:b w:val="0"/>
                    </w:rPr>
                    <w:t>R1</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refektář,  4.zrcadlo</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10 g</w:t>
                  </w:r>
                </w:p>
              </w:tc>
            </w:tr>
            <w:tr w:rsidR="00416E9F" w:rsidRPr="00AB65E2" w:rsidTr="00CE371D">
              <w:tblPrEx>
                <w:tblCellMar>
                  <w:top w:w="0" w:type="dxa"/>
                  <w:bottom w:w="0" w:type="dxa"/>
                </w:tblCellMar>
              </w:tblPrEx>
              <w:tc>
                <w:tcPr>
                  <w:tcW w:w="2835" w:type="dxa"/>
                </w:tcPr>
                <w:p w:rsidR="00416E9F" w:rsidRPr="00AB65E2" w:rsidRDefault="00416E9F" w:rsidP="00AB65E2">
                  <w:pPr>
                    <w:spacing w:line="240" w:lineRule="auto"/>
                    <w:jc w:val="center"/>
                    <w:rPr>
                      <w:rFonts w:cstheme="minorHAnsi"/>
                      <w:bCs/>
                      <w:sz w:val="24"/>
                      <w:szCs w:val="24"/>
                    </w:rPr>
                  </w:pPr>
                  <w:r w:rsidRPr="00AB65E2">
                    <w:rPr>
                      <w:rFonts w:cstheme="minorHAnsi"/>
                      <w:bCs/>
                      <w:sz w:val="24"/>
                      <w:szCs w:val="24"/>
                    </w:rPr>
                    <w:t>R2</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refektář, 3. zrcadlo</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10 g</w:t>
                  </w:r>
                </w:p>
              </w:tc>
            </w:tr>
            <w:tr w:rsidR="00416E9F" w:rsidRPr="00AB65E2" w:rsidTr="00CE371D">
              <w:tblPrEx>
                <w:tblCellMar>
                  <w:top w:w="0" w:type="dxa"/>
                  <w:bottom w:w="0" w:type="dxa"/>
                </w:tblCellMar>
              </w:tblPrEx>
              <w:tc>
                <w:tcPr>
                  <w:tcW w:w="2835" w:type="dxa"/>
                </w:tcPr>
                <w:p w:rsidR="00416E9F" w:rsidRPr="00AB65E2" w:rsidRDefault="00416E9F" w:rsidP="00AB65E2">
                  <w:pPr>
                    <w:spacing w:line="240" w:lineRule="auto"/>
                    <w:jc w:val="center"/>
                    <w:rPr>
                      <w:rFonts w:cstheme="minorHAnsi"/>
                      <w:bCs/>
                      <w:sz w:val="24"/>
                      <w:szCs w:val="24"/>
                    </w:rPr>
                  </w:pPr>
                  <w:r w:rsidRPr="00AB65E2">
                    <w:rPr>
                      <w:rFonts w:cstheme="minorHAnsi"/>
                      <w:bCs/>
                      <w:sz w:val="24"/>
                      <w:szCs w:val="24"/>
                    </w:rPr>
                    <w:t>R3</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refektář, 2.zrcadlo</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15 g</w:t>
                  </w:r>
                </w:p>
              </w:tc>
            </w:tr>
          </w:tbl>
          <w:p w:rsidR="00416E9F" w:rsidRPr="00AB65E2" w:rsidRDefault="00416E9F" w:rsidP="00AB65E2">
            <w:pPr>
              <w:rPr>
                <w:rFonts w:cstheme="minorHAnsi"/>
                <w:bCs/>
                <w:sz w:val="24"/>
                <w:szCs w:val="24"/>
              </w:rPr>
            </w:pPr>
            <w:r w:rsidRPr="00AB65E2">
              <w:rPr>
                <w:rFonts w:cstheme="minorHAnsi"/>
                <w:bCs/>
                <w:sz w:val="24"/>
                <w:szCs w:val="24"/>
              </w:rPr>
              <w:t>Očistcová kaple: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1950"/>
              <w:gridCol w:w="1598"/>
            </w:tblGrid>
            <w:tr w:rsidR="00416E9F" w:rsidRPr="00AB65E2" w:rsidTr="00CE371D">
              <w:tblPrEx>
                <w:tblCellMar>
                  <w:top w:w="0" w:type="dxa"/>
                  <w:bottom w:w="0" w:type="dxa"/>
                </w:tblCellMar>
              </w:tblPrEx>
              <w:tc>
                <w:tcPr>
                  <w:tcW w:w="2835" w:type="dxa"/>
                </w:tcPr>
                <w:p w:rsidR="00416E9F" w:rsidRPr="00AB65E2" w:rsidRDefault="00416E9F" w:rsidP="00AB65E2">
                  <w:pPr>
                    <w:spacing w:line="240" w:lineRule="auto"/>
                    <w:jc w:val="center"/>
                    <w:rPr>
                      <w:rFonts w:cstheme="minorHAnsi"/>
                      <w:bCs/>
                      <w:sz w:val="24"/>
                      <w:szCs w:val="24"/>
                    </w:rPr>
                  </w:pPr>
                  <w:r w:rsidRPr="00AB65E2">
                    <w:rPr>
                      <w:rFonts w:cstheme="minorHAnsi"/>
                      <w:bCs/>
                      <w:sz w:val="24"/>
                      <w:szCs w:val="24"/>
                    </w:rPr>
                    <w:t>OK1</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Očistcová kaple, soklová část, vpravo od dveří, pod lunetou č. 6, 10-15 cm nad zemí</w:t>
                  </w:r>
                </w:p>
              </w:tc>
              <w:tc>
                <w:tcPr>
                  <w:tcW w:w="2835" w:type="dxa"/>
                </w:tcPr>
                <w:p w:rsidR="00416E9F" w:rsidRPr="00AB65E2" w:rsidRDefault="00416E9F" w:rsidP="00AB65E2">
                  <w:pPr>
                    <w:spacing w:line="240" w:lineRule="auto"/>
                    <w:jc w:val="center"/>
                    <w:rPr>
                      <w:rFonts w:cstheme="minorHAnsi"/>
                      <w:sz w:val="24"/>
                      <w:szCs w:val="24"/>
                    </w:rPr>
                  </w:pPr>
                  <w:r w:rsidRPr="00AB65E2">
                    <w:rPr>
                      <w:rFonts w:cstheme="minorHAnsi"/>
                      <w:sz w:val="24"/>
                      <w:szCs w:val="24"/>
                    </w:rPr>
                    <w:t>40 g</w:t>
                  </w:r>
                </w:p>
              </w:tc>
            </w:tr>
          </w:tbl>
          <w:p w:rsidR="00416E9F" w:rsidRPr="00AB65E2" w:rsidRDefault="00416E9F" w:rsidP="00AB65E2">
            <w:pPr>
              <w:pStyle w:val="Zkladntext2"/>
              <w:rPr>
                <w:rFonts w:asciiTheme="minorHAnsi" w:hAnsiTheme="minorHAnsi" w:cstheme="minorHAnsi"/>
                <w:sz w:val="24"/>
              </w:rPr>
            </w:pPr>
            <w:r w:rsidRPr="00AB65E2">
              <w:rPr>
                <w:rFonts w:asciiTheme="minorHAnsi" w:hAnsiTheme="minorHAnsi" w:cstheme="minorHAnsi"/>
                <w:sz w:val="24"/>
              </w:rPr>
              <w:t>Přesná místa odběru vzorků jsou zakreslena v restaurátorské dokumentaci Kamily Hamákové a Venduly Ťopkové, studentek 4. ročníku Ateliéru nástěnné malby.</w:t>
            </w:r>
          </w:p>
          <w:p w:rsidR="0022194F" w:rsidRPr="00AB65E2" w:rsidRDefault="0022194F" w:rsidP="00AB65E2">
            <w:pPr>
              <w:rPr>
                <w:rFonts w:cstheme="minorHAnsi"/>
                <w:sz w:val="24"/>
                <w:szCs w:val="24"/>
              </w:rPr>
            </w:pP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Místo odběru foto</w:t>
            </w:r>
          </w:p>
        </w:tc>
        <w:tc>
          <w:tcPr>
            <w:tcW w:w="5454" w:type="dxa"/>
          </w:tcPr>
          <w:p w:rsidR="0022194F" w:rsidRPr="00AB65E2" w:rsidRDefault="0022194F" w:rsidP="00AB65E2">
            <w:pPr>
              <w:rPr>
                <w:rFonts w:cstheme="minorHAnsi"/>
                <w:sz w:val="24"/>
                <w:szCs w:val="24"/>
              </w:rPr>
            </w:pP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Typ díla</w:t>
            </w:r>
          </w:p>
        </w:tc>
        <w:tc>
          <w:tcPr>
            <w:tcW w:w="5454" w:type="dxa"/>
          </w:tcPr>
          <w:p w:rsidR="0022194F" w:rsidRPr="00AB65E2" w:rsidRDefault="003A0D7C" w:rsidP="00AB65E2">
            <w:pPr>
              <w:rPr>
                <w:rFonts w:cstheme="minorHAnsi"/>
                <w:sz w:val="24"/>
                <w:szCs w:val="24"/>
              </w:rPr>
            </w:pPr>
            <w:r w:rsidRPr="00AB65E2">
              <w:rPr>
                <w:rFonts w:cstheme="minorHAnsi"/>
                <w:sz w:val="24"/>
                <w:szCs w:val="24"/>
              </w:rPr>
              <w:t>Nástěnná malba</w:t>
            </w: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Typ podložky (v případě vzorků povrchových úprav / barevných vrstev)</w:t>
            </w:r>
          </w:p>
        </w:tc>
        <w:tc>
          <w:tcPr>
            <w:tcW w:w="5454" w:type="dxa"/>
          </w:tcPr>
          <w:p w:rsidR="0022194F" w:rsidRPr="00AB65E2" w:rsidRDefault="003A0D7C" w:rsidP="00AB65E2">
            <w:pPr>
              <w:rPr>
                <w:rFonts w:cstheme="minorHAnsi"/>
                <w:sz w:val="24"/>
                <w:szCs w:val="24"/>
              </w:rPr>
            </w:pPr>
            <w:r w:rsidRPr="00AB65E2">
              <w:rPr>
                <w:rFonts w:cstheme="minorHAnsi"/>
                <w:sz w:val="24"/>
                <w:szCs w:val="24"/>
              </w:rPr>
              <w:t>Omítka</w:t>
            </w: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Datace</w:t>
            </w:r>
            <w:r w:rsidR="00AA48FC" w:rsidRPr="00AB65E2">
              <w:rPr>
                <w:rFonts w:cstheme="minorHAnsi"/>
                <w:b/>
                <w:sz w:val="24"/>
                <w:szCs w:val="24"/>
              </w:rPr>
              <w:t xml:space="preserve"> objektu</w:t>
            </w:r>
          </w:p>
        </w:tc>
        <w:tc>
          <w:tcPr>
            <w:tcW w:w="5454" w:type="dxa"/>
          </w:tcPr>
          <w:p w:rsidR="0022194F" w:rsidRPr="00AB65E2" w:rsidRDefault="00A370DB" w:rsidP="00AB65E2">
            <w:pPr>
              <w:rPr>
                <w:rFonts w:cstheme="minorHAnsi"/>
                <w:sz w:val="24"/>
                <w:szCs w:val="24"/>
              </w:rPr>
            </w:pPr>
            <w:r w:rsidRPr="00AB65E2">
              <w:rPr>
                <w:rFonts w:cstheme="minorHAnsi"/>
                <w:sz w:val="24"/>
                <w:szCs w:val="24"/>
              </w:rPr>
              <w:t>2. pol. 18. století</w:t>
            </w: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Zpracovatel analýzy</w:t>
            </w:r>
          </w:p>
        </w:tc>
        <w:tc>
          <w:tcPr>
            <w:tcW w:w="5454" w:type="dxa"/>
          </w:tcPr>
          <w:p w:rsidR="0022194F" w:rsidRPr="00AB65E2" w:rsidRDefault="00416E9F" w:rsidP="00AB65E2">
            <w:pPr>
              <w:rPr>
                <w:rFonts w:cstheme="minorHAnsi"/>
                <w:sz w:val="24"/>
                <w:szCs w:val="24"/>
              </w:rPr>
            </w:pPr>
            <w:r w:rsidRPr="00AB65E2">
              <w:rPr>
                <w:rFonts w:cstheme="minorHAnsi"/>
                <w:sz w:val="24"/>
                <w:szCs w:val="24"/>
              </w:rPr>
              <w:t>Vyskočilová Renata</w:t>
            </w:r>
          </w:p>
        </w:tc>
      </w:tr>
      <w:tr w:rsidR="0022194F" w:rsidRPr="00AB65E2" w:rsidTr="00CF54D3">
        <w:tc>
          <w:tcPr>
            <w:tcW w:w="4606" w:type="dxa"/>
          </w:tcPr>
          <w:p w:rsidR="0022194F" w:rsidRPr="00AB65E2" w:rsidRDefault="0022194F" w:rsidP="00AB65E2">
            <w:pPr>
              <w:rPr>
                <w:rFonts w:cstheme="minorHAnsi"/>
                <w:b/>
                <w:sz w:val="24"/>
                <w:szCs w:val="24"/>
              </w:rPr>
            </w:pPr>
            <w:r w:rsidRPr="00AB65E2">
              <w:rPr>
                <w:rFonts w:cstheme="minorHAnsi"/>
                <w:b/>
                <w:sz w:val="24"/>
                <w:szCs w:val="24"/>
              </w:rPr>
              <w:t>Datum zpracování zprávy</w:t>
            </w:r>
            <w:r w:rsidR="00AA48FC" w:rsidRPr="00AB65E2">
              <w:rPr>
                <w:rFonts w:cstheme="minorHAnsi"/>
                <w:b/>
                <w:sz w:val="24"/>
                <w:szCs w:val="24"/>
              </w:rPr>
              <w:t xml:space="preserve"> k analýze</w:t>
            </w:r>
          </w:p>
        </w:tc>
        <w:tc>
          <w:tcPr>
            <w:tcW w:w="5454" w:type="dxa"/>
          </w:tcPr>
          <w:p w:rsidR="0022194F" w:rsidRPr="00AB65E2" w:rsidRDefault="00416E9F" w:rsidP="00AB65E2">
            <w:pPr>
              <w:rPr>
                <w:rFonts w:cstheme="minorHAnsi"/>
                <w:sz w:val="24"/>
                <w:szCs w:val="24"/>
              </w:rPr>
            </w:pPr>
            <w:r w:rsidRPr="00AB65E2">
              <w:rPr>
                <w:rFonts w:cstheme="minorHAnsi"/>
                <w:sz w:val="24"/>
                <w:szCs w:val="24"/>
              </w:rPr>
              <w:t>25. 4. 2005</w:t>
            </w:r>
          </w:p>
        </w:tc>
      </w:tr>
      <w:tr w:rsidR="005A54E0" w:rsidRPr="00AB65E2" w:rsidTr="00CF54D3">
        <w:tc>
          <w:tcPr>
            <w:tcW w:w="4606" w:type="dxa"/>
          </w:tcPr>
          <w:p w:rsidR="005A54E0" w:rsidRPr="00AB65E2" w:rsidRDefault="005A54E0" w:rsidP="00AB65E2">
            <w:pPr>
              <w:rPr>
                <w:rFonts w:cstheme="minorHAnsi"/>
                <w:b/>
                <w:sz w:val="24"/>
                <w:szCs w:val="24"/>
              </w:rPr>
            </w:pPr>
            <w:r w:rsidRPr="00AB65E2">
              <w:rPr>
                <w:rFonts w:cstheme="minorHAnsi"/>
                <w:b/>
                <w:sz w:val="24"/>
                <w:szCs w:val="24"/>
              </w:rPr>
              <w:t>Číslo příslušné zprávy v </w:t>
            </w:r>
            <w:r w:rsidR="000A6440" w:rsidRPr="00AB65E2">
              <w:rPr>
                <w:rFonts w:cstheme="minorHAnsi"/>
                <w:b/>
                <w:sz w:val="24"/>
                <w:szCs w:val="24"/>
              </w:rPr>
              <w:t>databázi</w:t>
            </w:r>
            <w:r w:rsidRPr="00AB65E2">
              <w:rPr>
                <w:rFonts w:cstheme="minorHAnsi"/>
                <w:b/>
                <w:sz w:val="24"/>
                <w:szCs w:val="24"/>
              </w:rPr>
              <w:t xml:space="preserve"> zpráv </w:t>
            </w:r>
          </w:p>
        </w:tc>
        <w:tc>
          <w:tcPr>
            <w:tcW w:w="5454" w:type="dxa"/>
          </w:tcPr>
          <w:p w:rsidR="005A54E0" w:rsidRPr="00AB65E2" w:rsidRDefault="00416E9F" w:rsidP="00AB65E2">
            <w:pPr>
              <w:rPr>
                <w:rFonts w:cstheme="minorHAnsi"/>
                <w:sz w:val="24"/>
                <w:szCs w:val="24"/>
              </w:rPr>
            </w:pPr>
            <w:r w:rsidRPr="00AB65E2">
              <w:rPr>
                <w:rFonts w:cstheme="minorHAnsi"/>
                <w:sz w:val="24"/>
                <w:szCs w:val="24"/>
              </w:rPr>
              <w:t>2005_2</w:t>
            </w:r>
          </w:p>
        </w:tc>
      </w:tr>
    </w:tbl>
    <w:p w:rsidR="00AA48FC" w:rsidRPr="00AB65E2" w:rsidRDefault="00AA48FC" w:rsidP="00AB65E2">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874"/>
      </w:tblGrid>
      <w:tr w:rsidR="00AA48FC" w:rsidRPr="00AB65E2" w:rsidTr="00CF54D3">
        <w:tc>
          <w:tcPr>
            <w:tcW w:w="10060" w:type="dxa"/>
          </w:tcPr>
          <w:p w:rsidR="00AA48FC" w:rsidRPr="00AB65E2" w:rsidRDefault="00AA48FC" w:rsidP="00AB65E2">
            <w:pPr>
              <w:rPr>
                <w:rFonts w:cstheme="minorHAnsi"/>
                <w:b/>
                <w:sz w:val="24"/>
                <w:szCs w:val="24"/>
              </w:rPr>
            </w:pPr>
            <w:r w:rsidRPr="00AB65E2">
              <w:rPr>
                <w:rFonts w:cstheme="minorHAnsi"/>
                <w:b/>
                <w:sz w:val="24"/>
                <w:szCs w:val="24"/>
              </w:rPr>
              <w:t>Výsledky analýzy</w:t>
            </w:r>
          </w:p>
        </w:tc>
      </w:tr>
      <w:tr w:rsidR="00AA48FC" w:rsidRPr="00AB65E2" w:rsidTr="00CF54D3">
        <w:tc>
          <w:tcPr>
            <w:tcW w:w="10060" w:type="dxa"/>
          </w:tcPr>
          <w:p w:rsidR="00AB65E2" w:rsidRPr="00AB65E2" w:rsidRDefault="00AB65E2" w:rsidP="00AB65E2">
            <w:pPr>
              <w:numPr>
                <w:ilvl w:val="0"/>
                <w:numId w:val="1"/>
              </w:numPr>
              <w:rPr>
                <w:rFonts w:cstheme="minorHAnsi"/>
                <w:b/>
                <w:bCs/>
                <w:sz w:val="24"/>
                <w:szCs w:val="24"/>
              </w:rPr>
            </w:pPr>
            <w:r w:rsidRPr="00AB65E2">
              <w:rPr>
                <w:rFonts w:cstheme="minorHAnsi"/>
                <w:b/>
                <w:bCs/>
                <w:sz w:val="24"/>
                <w:szCs w:val="24"/>
              </w:rPr>
              <w:t>Analýza malty, obsah pojiva a plniva</w:t>
            </w:r>
          </w:p>
          <w:p w:rsidR="00AB65E2" w:rsidRPr="00AB65E2" w:rsidRDefault="00AB65E2" w:rsidP="00AB65E2">
            <w:pPr>
              <w:rPr>
                <w:rFonts w:cstheme="minorHAnsi"/>
                <w:sz w:val="24"/>
                <w:szCs w:val="24"/>
              </w:rPr>
            </w:pPr>
          </w:p>
          <w:p w:rsidR="00AB65E2" w:rsidRPr="00AB65E2" w:rsidRDefault="00AB65E2" w:rsidP="00AB65E2">
            <w:pPr>
              <w:jc w:val="both"/>
              <w:rPr>
                <w:rFonts w:cstheme="minorHAnsi"/>
                <w:sz w:val="24"/>
                <w:szCs w:val="24"/>
              </w:rPr>
            </w:pPr>
            <w:r w:rsidRPr="00AB65E2">
              <w:rPr>
                <w:rFonts w:cstheme="minorHAnsi"/>
                <w:sz w:val="24"/>
                <w:szCs w:val="24"/>
              </w:rPr>
              <w:t>Obsah pojiva Ca (OH)</w:t>
            </w:r>
            <w:r w:rsidRPr="00AB65E2">
              <w:rPr>
                <w:rFonts w:cstheme="minorHAnsi"/>
                <w:sz w:val="24"/>
                <w:szCs w:val="24"/>
                <w:vertAlign w:val="subscript"/>
              </w:rPr>
              <w:t>2</w:t>
            </w:r>
            <w:r w:rsidRPr="00AB65E2">
              <w:rPr>
                <w:rFonts w:cstheme="minorHAnsi"/>
                <w:sz w:val="24"/>
                <w:szCs w:val="24"/>
              </w:rPr>
              <w:t xml:space="preserve"> byl vypočítán z množství CaCO</w:t>
            </w:r>
            <w:r w:rsidRPr="00AB65E2">
              <w:rPr>
                <w:rFonts w:cstheme="minorHAnsi"/>
                <w:sz w:val="24"/>
                <w:szCs w:val="24"/>
                <w:vertAlign w:val="subscript"/>
              </w:rPr>
              <w:t>3</w:t>
            </w:r>
            <w:r w:rsidRPr="00AB65E2">
              <w:rPr>
                <w:rFonts w:cstheme="minorHAnsi"/>
                <w:sz w:val="24"/>
                <w:szCs w:val="24"/>
              </w:rPr>
              <w:t>, který vznikl karbonatizací vápenného pojiva (vápenného hydrátu nebo vápenné kaše). Obsah SiO</w:t>
            </w:r>
            <w:r w:rsidRPr="00AB65E2">
              <w:rPr>
                <w:rFonts w:cstheme="minorHAnsi"/>
                <w:sz w:val="24"/>
                <w:szCs w:val="24"/>
                <w:vertAlign w:val="subscript"/>
              </w:rPr>
              <w:t xml:space="preserve">2 </w:t>
            </w:r>
            <w:r w:rsidRPr="00AB65E2">
              <w:rPr>
                <w:rFonts w:cstheme="minorHAnsi"/>
                <w:sz w:val="24"/>
                <w:szCs w:val="24"/>
              </w:rPr>
              <w:t>byl přepočítán na rozpustné složky (pojivo).</w:t>
            </w:r>
          </w:p>
          <w:p w:rsidR="00AB65E2" w:rsidRPr="00AB65E2" w:rsidRDefault="00AB65E2" w:rsidP="00AB65E2">
            <w:pPr>
              <w:rPr>
                <w:rFonts w:cstheme="minorHAnsi"/>
                <w:b/>
                <w:bCs/>
                <w:sz w:val="24"/>
                <w:szCs w:val="24"/>
              </w:rPr>
            </w:pPr>
          </w:p>
          <w:p w:rsidR="00AB65E2" w:rsidRPr="00AB65E2" w:rsidRDefault="00AB65E2" w:rsidP="00AB65E2">
            <w:pPr>
              <w:rPr>
                <w:rFonts w:cstheme="minorHAnsi"/>
                <w:b/>
                <w:bCs/>
                <w:sz w:val="24"/>
                <w:szCs w:val="24"/>
              </w:rPr>
            </w:pPr>
            <w:r w:rsidRPr="00AB65E2">
              <w:rPr>
                <w:rFonts w:cstheme="minorHAnsi"/>
                <w:b/>
                <w:bCs/>
                <w:sz w:val="24"/>
                <w:szCs w:val="24"/>
              </w:rPr>
              <w:t>Tab.1: složení malt R1, R2 (Refektář), OK1 (Očistcová kaple)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5"/>
              <w:gridCol w:w="1797"/>
              <w:gridCol w:w="1810"/>
              <w:gridCol w:w="1664"/>
              <w:gridCol w:w="1664"/>
            </w:tblGrid>
            <w:tr w:rsidR="00AB65E2" w:rsidRPr="00AB65E2" w:rsidTr="00CE371D">
              <w:tblPrEx>
                <w:tblCellMar>
                  <w:top w:w="0" w:type="dxa"/>
                  <w:bottom w:w="0" w:type="dxa"/>
                </w:tblCellMar>
              </w:tblPrEx>
              <w:tc>
                <w:tcPr>
                  <w:tcW w:w="2105" w:type="dxa"/>
                  <w:tcBorders>
                    <w:bottom w:val="single" w:sz="18" w:space="0" w:color="auto"/>
                    <w:right w:val="single" w:sz="18" w:space="0" w:color="auto"/>
                    <w:tl2br w:val="single" w:sz="18" w:space="0" w:color="auto"/>
                  </w:tcBorders>
                </w:tcPr>
                <w:p w:rsidR="00AB65E2" w:rsidRPr="00AB65E2" w:rsidRDefault="00AB65E2" w:rsidP="00AB65E2">
                  <w:pPr>
                    <w:spacing w:line="240" w:lineRule="auto"/>
                    <w:jc w:val="center"/>
                    <w:rPr>
                      <w:rFonts w:cstheme="minorHAnsi"/>
                      <w:b/>
                      <w:bCs/>
                      <w:sz w:val="24"/>
                      <w:szCs w:val="24"/>
                    </w:rPr>
                  </w:pPr>
                  <w:r w:rsidRPr="00AB65E2">
                    <w:rPr>
                      <w:rFonts w:cstheme="minorHAnsi"/>
                      <w:b/>
                      <w:bCs/>
                      <w:sz w:val="24"/>
                      <w:szCs w:val="24"/>
                    </w:rPr>
                    <w:lastRenderedPageBreak/>
                    <w:t xml:space="preserve">                   vzorek</w:t>
                  </w:r>
                </w:p>
                <w:p w:rsidR="00AB65E2" w:rsidRPr="00AB65E2" w:rsidRDefault="00AB65E2" w:rsidP="00AB65E2">
                  <w:pPr>
                    <w:spacing w:line="240" w:lineRule="auto"/>
                    <w:rPr>
                      <w:rFonts w:cstheme="minorHAnsi"/>
                      <w:sz w:val="24"/>
                      <w:szCs w:val="24"/>
                    </w:rPr>
                  </w:pPr>
                </w:p>
                <w:p w:rsidR="00AB65E2" w:rsidRPr="00AB65E2" w:rsidRDefault="00AB65E2" w:rsidP="00AB65E2">
                  <w:pPr>
                    <w:spacing w:line="240" w:lineRule="auto"/>
                    <w:rPr>
                      <w:rFonts w:cstheme="minorHAnsi"/>
                      <w:b/>
                      <w:bCs/>
                      <w:sz w:val="24"/>
                      <w:szCs w:val="24"/>
                    </w:rPr>
                  </w:pPr>
                  <w:r w:rsidRPr="00AB65E2">
                    <w:rPr>
                      <w:rFonts w:cstheme="minorHAnsi"/>
                      <w:b/>
                      <w:bCs/>
                      <w:sz w:val="24"/>
                      <w:szCs w:val="24"/>
                    </w:rPr>
                    <w:t>složka</w:t>
                  </w:r>
                </w:p>
              </w:tc>
              <w:tc>
                <w:tcPr>
                  <w:tcW w:w="1797" w:type="dxa"/>
                  <w:tcBorders>
                    <w:left w:val="single" w:sz="18" w:space="0" w:color="auto"/>
                    <w:bottom w:val="single" w:sz="18" w:space="0" w:color="auto"/>
                  </w:tcBorders>
                </w:tcPr>
                <w:p w:rsidR="00AB65E2" w:rsidRPr="00AB65E2" w:rsidRDefault="00AB65E2" w:rsidP="00AB65E2">
                  <w:pPr>
                    <w:pStyle w:val="Nadpis2"/>
                    <w:spacing w:line="240" w:lineRule="auto"/>
                    <w:rPr>
                      <w:rFonts w:asciiTheme="minorHAnsi" w:hAnsiTheme="minorHAnsi" w:cstheme="minorHAnsi"/>
                      <w:sz w:val="24"/>
                      <w:szCs w:val="24"/>
                    </w:rPr>
                  </w:pPr>
                  <w:r w:rsidRPr="00AB65E2">
                    <w:rPr>
                      <w:rFonts w:asciiTheme="minorHAnsi" w:hAnsiTheme="minorHAnsi" w:cstheme="minorHAnsi"/>
                      <w:sz w:val="24"/>
                      <w:szCs w:val="24"/>
                    </w:rPr>
                    <w:t>R1</w:t>
                  </w:r>
                </w:p>
              </w:tc>
              <w:tc>
                <w:tcPr>
                  <w:tcW w:w="1810" w:type="dxa"/>
                  <w:tcBorders>
                    <w:bottom w:val="single" w:sz="18" w:space="0" w:color="auto"/>
                  </w:tcBorders>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R2</w:t>
                  </w:r>
                </w:p>
              </w:tc>
              <w:tc>
                <w:tcPr>
                  <w:tcW w:w="1664" w:type="dxa"/>
                  <w:tcBorders>
                    <w:bottom w:val="single" w:sz="18" w:space="0" w:color="auto"/>
                  </w:tcBorders>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R3</w:t>
                  </w:r>
                </w:p>
              </w:tc>
              <w:tc>
                <w:tcPr>
                  <w:tcW w:w="1664" w:type="dxa"/>
                  <w:tcBorders>
                    <w:bottom w:val="single" w:sz="18" w:space="0" w:color="auto"/>
                  </w:tcBorders>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OK1</w:t>
                  </w:r>
                </w:p>
              </w:tc>
            </w:tr>
            <w:tr w:rsidR="00AB65E2" w:rsidRPr="00AB65E2" w:rsidTr="00CE371D">
              <w:tblPrEx>
                <w:tblCellMar>
                  <w:top w:w="0" w:type="dxa"/>
                  <w:bottom w:w="0" w:type="dxa"/>
                </w:tblCellMar>
              </w:tblPrEx>
              <w:tc>
                <w:tcPr>
                  <w:tcW w:w="2105" w:type="dxa"/>
                  <w:tcBorders>
                    <w:top w:val="single" w:sz="18" w:space="0" w:color="auto"/>
                    <w:right w:val="single" w:sz="18" w:space="0" w:color="auto"/>
                  </w:tcBorders>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 xml:space="preserve">nerozpustný podíl </w:t>
                  </w:r>
                </w:p>
                <w:p w:rsidR="00AB65E2" w:rsidRPr="00AB65E2" w:rsidRDefault="00AB65E2" w:rsidP="00AB65E2">
                  <w:pPr>
                    <w:spacing w:line="240" w:lineRule="auto"/>
                    <w:rPr>
                      <w:rFonts w:cstheme="minorHAnsi"/>
                      <w:b/>
                      <w:bCs/>
                      <w:sz w:val="24"/>
                      <w:szCs w:val="24"/>
                    </w:rPr>
                  </w:pPr>
                  <w:r w:rsidRPr="00AB65E2">
                    <w:rPr>
                      <w:rFonts w:cstheme="minorHAnsi"/>
                      <w:b/>
                      <w:bCs/>
                      <w:sz w:val="24"/>
                      <w:szCs w:val="24"/>
                    </w:rPr>
                    <w:t>(kamenivo) (hm.%)</w:t>
                  </w:r>
                </w:p>
              </w:tc>
              <w:tc>
                <w:tcPr>
                  <w:tcW w:w="1797" w:type="dxa"/>
                  <w:tcBorders>
                    <w:top w:val="single" w:sz="18" w:space="0" w:color="auto"/>
                    <w:left w:val="single" w:sz="18" w:space="0" w:color="auto"/>
                  </w:tcBorders>
                </w:tcPr>
                <w:p w:rsidR="00AB65E2" w:rsidRPr="00AB65E2" w:rsidRDefault="00AB65E2" w:rsidP="00AB65E2">
                  <w:pPr>
                    <w:spacing w:line="240" w:lineRule="auto"/>
                    <w:rPr>
                      <w:rFonts w:cstheme="minorHAnsi"/>
                      <w:sz w:val="24"/>
                      <w:szCs w:val="24"/>
                    </w:rPr>
                  </w:pPr>
                  <w:r w:rsidRPr="00AB65E2">
                    <w:rPr>
                      <w:rFonts w:cstheme="minorHAnsi"/>
                      <w:sz w:val="24"/>
                      <w:szCs w:val="24"/>
                    </w:rPr>
                    <w:t>56,4</w:t>
                  </w:r>
                </w:p>
              </w:tc>
              <w:tc>
                <w:tcPr>
                  <w:tcW w:w="1810" w:type="dxa"/>
                  <w:tcBorders>
                    <w:top w:val="single" w:sz="18" w:space="0" w:color="auto"/>
                  </w:tcBorders>
                </w:tcPr>
                <w:p w:rsidR="00AB65E2" w:rsidRPr="00AB65E2" w:rsidRDefault="00AB65E2" w:rsidP="00AB65E2">
                  <w:pPr>
                    <w:spacing w:line="240" w:lineRule="auto"/>
                    <w:rPr>
                      <w:rFonts w:cstheme="minorHAnsi"/>
                      <w:sz w:val="24"/>
                      <w:szCs w:val="24"/>
                    </w:rPr>
                  </w:pPr>
                  <w:r w:rsidRPr="00AB65E2">
                    <w:rPr>
                      <w:rFonts w:cstheme="minorHAnsi"/>
                      <w:sz w:val="24"/>
                      <w:szCs w:val="24"/>
                    </w:rPr>
                    <w:t>55,9</w:t>
                  </w:r>
                </w:p>
              </w:tc>
              <w:tc>
                <w:tcPr>
                  <w:tcW w:w="1664" w:type="dxa"/>
                  <w:tcBorders>
                    <w:top w:val="single" w:sz="18" w:space="0" w:color="auto"/>
                  </w:tcBorders>
                </w:tcPr>
                <w:p w:rsidR="00AB65E2" w:rsidRPr="00AB65E2" w:rsidRDefault="00AB65E2" w:rsidP="00AB65E2">
                  <w:pPr>
                    <w:spacing w:line="240" w:lineRule="auto"/>
                    <w:rPr>
                      <w:rFonts w:cstheme="minorHAnsi"/>
                      <w:sz w:val="24"/>
                      <w:szCs w:val="24"/>
                    </w:rPr>
                  </w:pPr>
                  <w:r w:rsidRPr="00AB65E2">
                    <w:rPr>
                      <w:rFonts w:cstheme="minorHAnsi"/>
                      <w:sz w:val="24"/>
                      <w:szCs w:val="24"/>
                    </w:rPr>
                    <w:t>45,5</w:t>
                  </w:r>
                </w:p>
              </w:tc>
              <w:tc>
                <w:tcPr>
                  <w:tcW w:w="1664" w:type="dxa"/>
                  <w:tcBorders>
                    <w:top w:val="single" w:sz="18" w:space="0" w:color="auto"/>
                  </w:tcBorders>
                </w:tcPr>
                <w:p w:rsidR="00AB65E2" w:rsidRPr="00AB65E2" w:rsidRDefault="00AB65E2" w:rsidP="00AB65E2">
                  <w:pPr>
                    <w:spacing w:line="240" w:lineRule="auto"/>
                    <w:rPr>
                      <w:rFonts w:cstheme="minorHAnsi"/>
                      <w:sz w:val="24"/>
                      <w:szCs w:val="24"/>
                    </w:rPr>
                  </w:pPr>
                  <w:r w:rsidRPr="00AB65E2">
                    <w:rPr>
                      <w:rFonts w:cstheme="minorHAnsi"/>
                      <w:sz w:val="24"/>
                      <w:szCs w:val="24"/>
                    </w:rPr>
                    <w:t>56,1</w:t>
                  </w:r>
                </w:p>
              </w:tc>
            </w:tr>
            <w:tr w:rsidR="00AB65E2" w:rsidRPr="00AB65E2" w:rsidTr="00CE371D">
              <w:tblPrEx>
                <w:tblCellMar>
                  <w:top w:w="0" w:type="dxa"/>
                  <w:bottom w:w="0" w:type="dxa"/>
                </w:tblCellMar>
              </w:tblPrEx>
              <w:tc>
                <w:tcPr>
                  <w:tcW w:w="2105" w:type="dxa"/>
                  <w:tcBorders>
                    <w:right w:val="single" w:sz="18" w:space="0" w:color="auto"/>
                  </w:tcBorders>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rozpustný SiO</w:t>
                  </w:r>
                  <w:r w:rsidRPr="00AB65E2">
                    <w:rPr>
                      <w:rFonts w:cstheme="minorHAnsi"/>
                      <w:b/>
                      <w:bCs/>
                      <w:sz w:val="24"/>
                      <w:szCs w:val="24"/>
                      <w:vertAlign w:val="subscript"/>
                    </w:rPr>
                    <w:t>2</w:t>
                  </w:r>
                  <w:r w:rsidRPr="00AB65E2">
                    <w:rPr>
                      <w:rFonts w:cstheme="minorHAnsi"/>
                      <w:b/>
                      <w:bCs/>
                      <w:sz w:val="24"/>
                      <w:szCs w:val="24"/>
                    </w:rPr>
                    <w:t xml:space="preserve"> (hm.%)</w:t>
                  </w:r>
                </w:p>
              </w:tc>
              <w:tc>
                <w:tcPr>
                  <w:tcW w:w="1797" w:type="dxa"/>
                  <w:tcBorders>
                    <w:left w:val="single" w:sz="18" w:space="0" w:color="auto"/>
                  </w:tcBorders>
                </w:tcPr>
                <w:p w:rsidR="00AB65E2" w:rsidRPr="00AB65E2" w:rsidRDefault="00AB65E2" w:rsidP="00AB65E2">
                  <w:pPr>
                    <w:spacing w:line="240" w:lineRule="auto"/>
                    <w:rPr>
                      <w:rFonts w:cstheme="minorHAnsi"/>
                      <w:sz w:val="24"/>
                      <w:szCs w:val="24"/>
                      <w:vertAlign w:val="superscript"/>
                    </w:rPr>
                  </w:pPr>
                  <w:r w:rsidRPr="00AB65E2">
                    <w:rPr>
                      <w:rFonts w:cstheme="minorHAnsi"/>
                      <w:sz w:val="24"/>
                      <w:szCs w:val="24"/>
                    </w:rPr>
                    <w:t>0,2 (0,5)</w:t>
                  </w:r>
                  <w:r w:rsidRPr="00AB65E2">
                    <w:rPr>
                      <w:rFonts w:cstheme="minorHAnsi"/>
                      <w:sz w:val="24"/>
                      <w:szCs w:val="24"/>
                      <w:vertAlign w:val="superscript"/>
                    </w:rPr>
                    <w:t>*</w:t>
                  </w:r>
                </w:p>
              </w:tc>
              <w:tc>
                <w:tcPr>
                  <w:tcW w:w="1810" w:type="dxa"/>
                </w:tcPr>
                <w:p w:rsidR="00AB65E2" w:rsidRPr="00AB65E2" w:rsidRDefault="00AB65E2" w:rsidP="00AB65E2">
                  <w:pPr>
                    <w:spacing w:line="240" w:lineRule="auto"/>
                    <w:rPr>
                      <w:rFonts w:cstheme="minorHAnsi"/>
                      <w:sz w:val="24"/>
                      <w:szCs w:val="24"/>
                      <w:vertAlign w:val="superscript"/>
                    </w:rPr>
                  </w:pPr>
                  <w:r w:rsidRPr="00AB65E2">
                    <w:rPr>
                      <w:rFonts w:cstheme="minorHAnsi"/>
                      <w:sz w:val="24"/>
                      <w:szCs w:val="24"/>
                    </w:rPr>
                    <w:t>4,6 (10,4)</w:t>
                  </w:r>
                  <w:r w:rsidRPr="00AB65E2">
                    <w:rPr>
                      <w:rFonts w:cstheme="minorHAnsi"/>
                      <w:sz w:val="24"/>
                      <w:szCs w:val="24"/>
                      <w:vertAlign w:val="superscript"/>
                    </w:rPr>
                    <w:t>*</w:t>
                  </w:r>
                </w:p>
              </w:tc>
              <w:tc>
                <w:tcPr>
                  <w:tcW w:w="1664" w:type="dxa"/>
                </w:tcPr>
                <w:p w:rsidR="00AB65E2" w:rsidRPr="00AB65E2" w:rsidRDefault="00AB65E2" w:rsidP="00AB65E2">
                  <w:pPr>
                    <w:spacing w:line="240" w:lineRule="auto"/>
                    <w:rPr>
                      <w:rFonts w:cstheme="minorHAnsi"/>
                      <w:sz w:val="24"/>
                      <w:szCs w:val="24"/>
                      <w:vertAlign w:val="superscript"/>
                    </w:rPr>
                  </w:pPr>
                  <w:r w:rsidRPr="00AB65E2">
                    <w:rPr>
                      <w:rFonts w:cstheme="minorHAnsi"/>
                      <w:sz w:val="24"/>
                      <w:szCs w:val="24"/>
                    </w:rPr>
                    <w:t>2,2 (4,8)</w:t>
                  </w:r>
                  <w:r w:rsidRPr="00AB65E2">
                    <w:rPr>
                      <w:rFonts w:cstheme="minorHAnsi"/>
                      <w:sz w:val="24"/>
                      <w:szCs w:val="24"/>
                      <w:vertAlign w:val="superscript"/>
                    </w:rPr>
                    <w:t>*</w:t>
                  </w:r>
                </w:p>
              </w:tc>
              <w:tc>
                <w:tcPr>
                  <w:tcW w:w="1664" w:type="dxa"/>
                </w:tcPr>
                <w:p w:rsidR="00AB65E2" w:rsidRPr="00AB65E2" w:rsidRDefault="00AB65E2" w:rsidP="00AB65E2">
                  <w:pPr>
                    <w:spacing w:line="240" w:lineRule="auto"/>
                    <w:rPr>
                      <w:rFonts w:cstheme="minorHAnsi"/>
                      <w:sz w:val="24"/>
                      <w:szCs w:val="24"/>
                      <w:vertAlign w:val="superscript"/>
                    </w:rPr>
                  </w:pPr>
                  <w:r w:rsidRPr="00AB65E2">
                    <w:rPr>
                      <w:rFonts w:cstheme="minorHAnsi"/>
                      <w:sz w:val="24"/>
                      <w:szCs w:val="24"/>
                    </w:rPr>
                    <w:t>2,4 (5,5)</w:t>
                  </w:r>
                  <w:r w:rsidRPr="00AB65E2">
                    <w:rPr>
                      <w:rFonts w:cstheme="minorHAnsi"/>
                      <w:sz w:val="24"/>
                      <w:szCs w:val="24"/>
                      <w:vertAlign w:val="superscript"/>
                    </w:rPr>
                    <w:t>*</w:t>
                  </w:r>
                </w:p>
              </w:tc>
            </w:tr>
            <w:tr w:rsidR="00AB65E2" w:rsidRPr="00AB65E2" w:rsidTr="00CE371D">
              <w:tblPrEx>
                <w:tblCellMar>
                  <w:top w:w="0" w:type="dxa"/>
                  <w:bottom w:w="0" w:type="dxa"/>
                </w:tblCellMar>
              </w:tblPrEx>
              <w:tc>
                <w:tcPr>
                  <w:tcW w:w="2105" w:type="dxa"/>
                  <w:tcBorders>
                    <w:right w:val="single" w:sz="18" w:space="0" w:color="auto"/>
                  </w:tcBorders>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CaCO</w:t>
                  </w:r>
                  <w:r w:rsidRPr="00AB65E2">
                    <w:rPr>
                      <w:rFonts w:cstheme="minorHAnsi"/>
                      <w:b/>
                      <w:bCs/>
                      <w:sz w:val="24"/>
                      <w:szCs w:val="24"/>
                      <w:vertAlign w:val="subscript"/>
                    </w:rPr>
                    <w:t>3</w:t>
                  </w:r>
                  <w:r w:rsidRPr="00AB65E2">
                    <w:rPr>
                      <w:rFonts w:cstheme="minorHAnsi"/>
                      <w:b/>
                      <w:bCs/>
                      <w:sz w:val="24"/>
                      <w:szCs w:val="24"/>
                    </w:rPr>
                    <w:t xml:space="preserve"> (hm.%)</w:t>
                  </w:r>
                </w:p>
              </w:tc>
              <w:tc>
                <w:tcPr>
                  <w:tcW w:w="1797" w:type="dxa"/>
                  <w:tcBorders>
                    <w:left w:val="single" w:sz="18" w:space="0" w:color="auto"/>
                  </w:tcBorders>
                </w:tcPr>
                <w:p w:rsidR="00AB65E2" w:rsidRPr="00AB65E2" w:rsidRDefault="00AB65E2" w:rsidP="00AB65E2">
                  <w:pPr>
                    <w:spacing w:line="240" w:lineRule="auto"/>
                    <w:rPr>
                      <w:rFonts w:cstheme="minorHAnsi"/>
                      <w:sz w:val="24"/>
                      <w:szCs w:val="24"/>
                    </w:rPr>
                  </w:pPr>
                  <w:r w:rsidRPr="00AB65E2">
                    <w:rPr>
                      <w:rFonts w:cstheme="minorHAnsi"/>
                      <w:sz w:val="24"/>
                      <w:szCs w:val="24"/>
                    </w:rPr>
                    <w:t>43,4</w:t>
                  </w:r>
                </w:p>
              </w:tc>
              <w:tc>
                <w:tcPr>
                  <w:tcW w:w="1810" w:type="dxa"/>
                </w:tcPr>
                <w:p w:rsidR="00AB65E2" w:rsidRPr="00AB65E2" w:rsidRDefault="00AB65E2" w:rsidP="00AB65E2">
                  <w:pPr>
                    <w:spacing w:line="240" w:lineRule="auto"/>
                    <w:rPr>
                      <w:rFonts w:cstheme="minorHAnsi"/>
                      <w:sz w:val="24"/>
                      <w:szCs w:val="24"/>
                    </w:rPr>
                  </w:pPr>
                  <w:r w:rsidRPr="00AB65E2">
                    <w:rPr>
                      <w:rFonts w:cstheme="minorHAnsi"/>
                      <w:sz w:val="24"/>
                      <w:szCs w:val="24"/>
                    </w:rPr>
                    <w:t>39,6</w:t>
                  </w:r>
                </w:p>
              </w:tc>
              <w:tc>
                <w:tcPr>
                  <w:tcW w:w="1664" w:type="dxa"/>
                </w:tcPr>
                <w:p w:rsidR="00AB65E2" w:rsidRPr="00AB65E2" w:rsidRDefault="00AB65E2" w:rsidP="00AB65E2">
                  <w:pPr>
                    <w:spacing w:line="240" w:lineRule="auto"/>
                    <w:rPr>
                      <w:rFonts w:cstheme="minorHAnsi"/>
                      <w:sz w:val="24"/>
                      <w:szCs w:val="24"/>
                    </w:rPr>
                  </w:pPr>
                  <w:r w:rsidRPr="00AB65E2">
                    <w:rPr>
                      <w:rFonts w:cstheme="minorHAnsi"/>
                      <w:sz w:val="24"/>
                      <w:szCs w:val="24"/>
                    </w:rPr>
                    <w:t>43,3</w:t>
                  </w:r>
                </w:p>
              </w:tc>
              <w:tc>
                <w:tcPr>
                  <w:tcW w:w="1664" w:type="dxa"/>
                </w:tcPr>
                <w:p w:rsidR="00AB65E2" w:rsidRPr="00AB65E2" w:rsidRDefault="00AB65E2" w:rsidP="00AB65E2">
                  <w:pPr>
                    <w:spacing w:line="240" w:lineRule="auto"/>
                    <w:rPr>
                      <w:rFonts w:cstheme="minorHAnsi"/>
                      <w:sz w:val="24"/>
                      <w:szCs w:val="24"/>
                    </w:rPr>
                  </w:pPr>
                  <w:r w:rsidRPr="00AB65E2">
                    <w:rPr>
                      <w:rFonts w:cstheme="minorHAnsi"/>
                      <w:sz w:val="24"/>
                      <w:szCs w:val="24"/>
                    </w:rPr>
                    <w:t>41,5</w:t>
                  </w:r>
                </w:p>
              </w:tc>
            </w:tr>
          </w:tbl>
          <w:p w:rsidR="00AB65E2" w:rsidRPr="00AB65E2" w:rsidRDefault="00AB65E2" w:rsidP="00AB65E2">
            <w:pPr>
              <w:rPr>
                <w:rFonts w:cstheme="minorHAnsi"/>
                <w:sz w:val="24"/>
                <w:szCs w:val="24"/>
              </w:rPr>
            </w:pPr>
            <w:r w:rsidRPr="00AB65E2">
              <w:rPr>
                <w:rFonts w:cstheme="minorHAnsi"/>
                <w:sz w:val="24"/>
                <w:szCs w:val="24"/>
              </w:rPr>
              <w:t xml:space="preserve">Pozn.: </w:t>
            </w:r>
            <w:r w:rsidRPr="00AB65E2">
              <w:rPr>
                <w:rFonts w:cstheme="minorHAnsi"/>
                <w:sz w:val="24"/>
                <w:szCs w:val="24"/>
                <w:vertAlign w:val="superscript"/>
              </w:rPr>
              <w:t>*</w:t>
            </w:r>
            <w:r w:rsidRPr="00AB65E2">
              <w:rPr>
                <w:rFonts w:cstheme="minorHAnsi"/>
                <w:sz w:val="24"/>
                <w:szCs w:val="24"/>
              </w:rPr>
              <w:t xml:space="preserve"> přepočítáno na rozpustné složky </w:t>
            </w:r>
          </w:p>
          <w:p w:rsidR="00AB65E2" w:rsidRPr="00AB65E2" w:rsidRDefault="00AB65E2" w:rsidP="00AB65E2">
            <w:pPr>
              <w:jc w:val="both"/>
              <w:rPr>
                <w:rFonts w:cstheme="minorHAnsi"/>
                <w:sz w:val="24"/>
                <w:szCs w:val="24"/>
              </w:rPr>
            </w:pPr>
          </w:p>
          <w:p w:rsidR="00AB65E2" w:rsidRPr="00AB65E2" w:rsidRDefault="00AB65E2" w:rsidP="00AB65E2">
            <w:pPr>
              <w:numPr>
                <w:ilvl w:val="0"/>
                <w:numId w:val="1"/>
              </w:numPr>
              <w:jc w:val="both"/>
              <w:rPr>
                <w:rFonts w:cstheme="minorHAnsi"/>
                <w:b/>
                <w:bCs/>
                <w:sz w:val="24"/>
                <w:szCs w:val="24"/>
              </w:rPr>
            </w:pPr>
            <w:r w:rsidRPr="00AB65E2">
              <w:rPr>
                <w:rFonts w:cstheme="minorHAnsi"/>
                <w:b/>
                <w:bCs/>
                <w:sz w:val="24"/>
                <w:szCs w:val="24"/>
              </w:rPr>
              <w:t>Poměr míšení při přípravě malty</w:t>
            </w:r>
          </w:p>
          <w:p w:rsidR="00AB65E2" w:rsidRPr="00AB65E2" w:rsidRDefault="00AB65E2" w:rsidP="00AB65E2">
            <w:pPr>
              <w:jc w:val="both"/>
              <w:rPr>
                <w:rFonts w:cstheme="minorHAnsi"/>
                <w:sz w:val="24"/>
                <w:szCs w:val="24"/>
              </w:rPr>
            </w:pPr>
            <w:r w:rsidRPr="00AB65E2">
              <w:rPr>
                <w:rFonts w:cstheme="minorHAnsi"/>
                <w:sz w:val="24"/>
                <w:szCs w:val="24"/>
              </w:rPr>
              <w:t xml:space="preserve">Poměr míšení byl stanoven jako poměr pojiva (přepočítáno na vápennou kaši) a kameniva. Poměr byl vypočítán v hmotnostních a objemových dílech. </w:t>
            </w:r>
          </w:p>
          <w:p w:rsidR="00AB65E2" w:rsidRPr="00AB65E2" w:rsidRDefault="00AB65E2" w:rsidP="00AB65E2">
            <w:pPr>
              <w:jc w:val="both"/>
              <w:rPr>
                <w:rFonts w:cstheme="minorHAnsi"/>
                <w:sz w:val="24"/>
                <w:szCs w:val="24"/>
              </w:rPr>
            </w:pPr>
          </w:p>
          <w:p w:rsidR="00AB65E2" w:rsidRPr="00AB65E2" w:rsidRDefault="00AB65E2" w:rsidP="00AB65E2">
            <w:pPr>
              <w:pStyle w:val="Nadpis3"/>
              <w:outlineLvl w:val="2"/>
              <w:rPr>
                <w:rFonts w:asciiTheme="minorHAnsi" w:hAnsiTheme="minorHAnsi" w:cstheme="minorHAnsi"/>
              </w:rPr>
            </w:pPr>
            <w:r w:rsidRPr="00AB65E2">
              <w:rPr>
                <w:rFonts w:asciiTheme="minorHAnsi" w:hAnsiTheme="minorHAnsi" w:cstheme="minorHAnsi"/>
              </w:rPr>
              <w:t>Tab.2: poměr míšení malt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1841"/>
              <w:gridCol w:w="1841"/>
              <w:gridCol w:w="1689"/>
              <w:gridCol w:w="1841"/>
            </w:tblGrid>
            <w:tr w:rsidR="00AB65E2" w:rsidRPr="00AB65E2" w:rsidTr="00CE371D">
              <w:tblPrEx>
                <w:tblCellMar>
                  <w:top w:w="0" w:type="dxa"/>
                  <w:bottom w:w="0" w:type="dxa"/>
                </w:tblCellMar>
              </w:tblPrEx>
              <w:tc>
                <w:tcPr>
                  <w:tcW w:w="2000" w:type="dxa"/>
                </w:tcPr>
                <w:p w:rsidR="00AB65E2" w:rsidRPr="00AB65E2" w:rsidRDefault="00AB65E2" w:rsidP="00AB65E2">
                  <w:pPr>
                    <w:spacing w:line="240" w:lineRule="auto"/>
                    <w:jc w:val="both"/>
                    <w:rPr>
                      <w:rFonts w:cstheme="minorHAnsi"/>
                      <w:sz w:val="24"/>
                      <w:szCs w:val="24"/>
                    </w:rPr>
                  </w:pPr>
                </w:p>
              </w:tc>
              <w:tc>
                <w:tcPr>
                  <w:tcW w:w="1841" w:type="dxa"/>
                </w:tcPr>
                <w:p w:rsidR="00AB65E2" w:rsidRPr="00AB65E2" w:rsidRDefault="00AB65E2" w:rsidP="00AB65E2">
                  <w:pPr>
                    <w:pStyle w:val="Nadpis2"/>
                    <w:spacing w:line="240" w:lineRule="auto"/>
                    <w:rPr>
                      <w:rFonts w:asciiTheme="minorHAnsi" w:hAnsiTheme="minorHAnsi" w:cstheme="minorHAnsi"/>
                      <w:sz w:val="24"/>
                      <w:szCs w:val="24"/>
                    </w:rPr>
                  </w:pPr>
                  <w:r w:rsidRPr="00AB65E2">
                    <w:rPr>
                      <w:rFonts w:asciiTheme="minorHAnsi" w:hAnsiTheme="minorHAnsi" w:cstheme="minorHAnsi"/>
                      <w:sz w:val="24"/>
                      <w:szCs w:val="24"/>
                    </w:rPr>
                    <w:t>R1</w:t>
                  </w:r>
                </w:p>
              </w:tc>
              <w:tc>
                <w:tcPr>
                  <w:tcW w:w="1841" w:type="dxa"/>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R2</w:t>
                  </w:r>
                </w:p>
              </w:tc>
              <w:tc>
                <w:tcPr>
                  <w:tcW w:w="1689" w:type="dxa"/>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R3</w:t>
                  </w:r>
                </w:p>
              </w:tc>
              <w:tc>
                <w:tcPr>
                  <w:tcW w:w="1841" w:type="dxa"/>
                </w:tcPr>
                <w:p w:rsidR="00AB65E2" w:rsidRPr="00AB65E2" w:rsidRDefault="00AB65E2" w:rsidP="00AB65E2">
                  <w:pPr>
                    <w:spacing w:line="240" w:lineRule="auto"/>
                    <w:rPr>
                      <w:rFonts w:cstheme="minorHAnsi"/>
                      <w:b/>
                      <w:bCs/>
                      <w:sz w:val="24"/>
                      <w:szCs w:val="24"/>
                    </w:rPr>
                  </w:pPr>
                  <w:r w:rsidRPr="00AB65E2">
                    <w:rPr>
                      <w:rFonts w:cstheme="minorHAnsi"/>
                      <w:b/>
                      <w:bCs/>
                      <w:sz w:val="24"/>
                      <w:szCs w:val="24"/>
                    </w:rPr>
                    <w:t>OK1</w:t>
                  </w:r>
                </w:p>
              </w:tc>
            </w:tr>
            <w:tr w:rsidR="00AB65E2" w:rsidRPr="00AB65E2" w:rsidTr="00CE371D">
              <w:tblPrEx>
                <w:tblCellMar>
                  <w:top w:w="0" w:type="dxa"/>
                  <w:bottom w:w="0" w:type="dxa"/>
                </w:tblCellMar>
              </w:tblPrEx>
              <w:tc>
                <w:tcPr>
                  <w:tcW w:w="2000"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vápenná kaše:písek</w:t>
                  </w:r>
                </w:p>
                <w:p w:rsidR="00AB65E2" w:rsidRPr="00AB65E2" w:rsidRDefault="00AB65E2" w:rsidP="00AB65E2">
                  <w:pPr>
                    <w:spacing w:line="240" w:lineRule="auto"/>
                    <w:jc w:val="both"/>
                    <w:rPr>
                      <w:rFonts w:cstheme="minorHAnsi"/>
                      <w:sz w:val="24"/>
                      <w:szCs w:val="24"/>
                    </w:rPr>
                  </w:pPr>
                  <w:r w:rsidRPr="00AB65E2">
                    <w:rPr>
                      <w:rFonts w:cstheme="minorHAnsi"/>
                      <w:sz w:val="24"/>
                      <w:szCs w:val="24"/>
                    </w:rPr>
                    <w:t>(hm. díly)</w:t>
                  </w:r>
                </w:p>
              </w:tc>
              <w:tc>
                <w:tcPr>
                  <w:tcW w:w="1841"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1:1,2</w:t>
                  </w:r>
                </w:p>
              </w:tc>
              <w:tc>
                <w:tcPr>
                  <w:tcW w:w="1841"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1:1,1</w:t>
                  </w:r>
                </w:p>
              </w:tc>
              <w:tc>
                <w:tcPr>
                  <w:tcW w:w="1689"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1:1,7</w:t>
                  </w:r>
                </w:p>
              </w:tc>
              <w:tc>
                <w:tcPr>
                  <w:tcW w:w="1841"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1:1,1</w:t>
                  </w:r>
                </w:p>
              </w:tc>
            </w:tr>
            <w:tr w:rsidR="00AB65E2" w:rsidRPr="00AB65E2" w:rsidTr="00CE371D">
              <w:tblPrEx>
                <w:tblCellMar>
                  <w:top w:w="0" w:type="dxa"/>
                  <w:bottom w:w="0" w:type="dxa"/>
                </w:tblCellMar>
              </w:tblPrEx>
              <w:tc>
                <w:tcPr>
                  <w:tcW w:w="2000"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vápenná kaše: písek</w:t>
                  </w:r>
                </w:p>
                <w:p w:rsidR="00AB65E2" w:rsidRPr="00AB65E2" w:rsidRDefault="00AB65E2" w:rsidP="00AB65E2">
                  <w:pPr>
                    <w:spacing w:line="240" w:lineRule="auto"/>
                    <w:jc w:val="both"/>
                    <w:rPr>
                      <w:rFonts w:cstheme="minorHAnsi"/>
                      <w:sz w:val="24"/>
                      <w:szCs w:val="24"/>
                    </w:rPr>
                  </w:pPr>
                  <w:r w:rsidRPr="00AB65E2">
                    <w:rPr>
                      <w:rFonts w:cstheme="minorHAnsi"/>
                      <w:sz w:val="24"/>
                      <w:szCs w:val="24"/>
                    </w:rPr>
                    <w:t>(obj. díly)</w:t>
                  </w:r>
                </w:p>
              </w:tc>
              <w:tc>
                <w:tcPr>
                  <w:tcW w:w="1841"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1:1,2</w:t>
                  </w:r>
                </w:p>
              </w:tc>
              <w:tc>
                <w:tcPr>
                  <w:tcW w:w="1841"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1:1,1</w:t>
                  </w:r>
                </w:p>
              </w:tc>
              <w:tc>
                <w:tcPr>
                  <w:tcW w:w="1689"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1:1,8</w:t>
                  </w:r>
                </w:p>
              </w:tc>
              <w:tc>
                <w:tcPr>
                  <w:tcW w:w="1841" w:type="dxa"/>
                </w:tcPr>
                <w:p w:rsidR="00AB65E2" w:rsidRPr="00AB65E2" w:rsidRDefault="00AB65E2" w:rsidP="00AB65E2">
                  <w:pPr>
                    <w:spacing w:line="240" w:lineRule="auto"/>
                    <w:jc w:val="both"/>
                    <w:rPr>
                      <w:rFonts w:cstheme="minorHAnsi"/>
                      <w:sz w:val="24"/>
                      <w:szCs w:val="24"/>
                    </w:rPr>
                  </w:pPr>
                  <w:r w:rsidRPr="00AB65E2">
                    <w:rPr>
                      <w:rFonts w:cstheme="minorHAnsi"/>
                      <w:sz w:val="24"/>
                      <w:szCs w:val="24"/>
                    </w:rPr>
                    <w:t>1:1,3</w:t>
                  </w:r>
                </w:p>
              </w:tc>
            </w:tr>
          </w:tbl>
          <w:p w:rsidR="00AB65E2" w:rsidRPr="00AB65E2" w:rsidRDefault="00AB65E2" w:rsidP="00AB65E2">
            <w:pPr>
              <w:jc w:val="both"/>
              <w:rPr>
                <w:rFonts w:cstheme="minorHAnsi"/>
                <w:b/>
                <w:bCs/>
                <w:sz w:val="24"/>
                <w:szCs w:val="24"/>
                <w:vertAlign w:val="superscript"/>
              </w:rPr>
            </w:pPr>
            <w:r w:rsidRPr="00AB65E2">
              <w:rPr>
                <w:rFonts w:cstheme="minorHAnsi"/>
                <w:sz w:val="24"/>
                <w:szCs w:val="24"/>
              </w:rPr>
              <w:t xml:space="preserve">Pozn.: </w:t>
            </w:r>
            <w:r w:rsidRPr="00AB65E2">
              <w:rPr>
                <w:rFonts w:cstheme="minorHAnsi"/>
                <w:b/>
                <w:bCs/>
                <w:sz w:val="24"/>
                <w:szCs w:val="24"/>
              </w:rPr>
              <w:t>sypná váha vápenné kaše 1,3 g.ml</w:t>
            </w:r>
            <w:r w:rsidRPr="00AB65E2">
              <w:rPr>
                <w:rFonts w:cstheme="minorHAnsi"/>
                <w:b/>
                <w:bCs/>
                <w:sz w:val="24"/>
                <w:szCs w:val="24"/>
                <w:vertAlign w:val="superscript"/>
              </w:rPr>
              <w:t>-1</w:t>
            </w:r>
            <w:r w:rsidRPr="00AB65E2">
              <w:rPr>
                <w:rFonts w:cstheme="minorHAnsi"/>
                <w:b/>
                <w:bCs/>
                <w:sz w:val="24"/>
                <w:szCs w:val="24"/>
              </w:rPr>
              <w:t>, kameniva OK1 1,1 g.ml</w:t>
            </w:r>
            <w:r w:rsidRPr="00AB65E2">
              <w:rPr>
                <w:rFonts w:cstheme="minorHAnsi"/>
                <w:b/>
                <w:bCs/>
                <w:sz w:val="24"/>
                <w:szCs w:val="24"/>
                <w:vertAlign w:val="superscript"/>
              </w:rPr>
              <w:t>-1</w:t>
            </w:r>
            <w:r w:rsidRPr="00AB65E2">
              <w:rPr>
                <w:rFonts w:cstheme="minorHAnsi"/>
                <w:b/>
                <w:bCs/>
                <w:sz w:val="24"/>
                <w:szCs w:val="24"/>
              </w:rPr>
              <w:t>, kameniva R1  1,1 g.ml</w:t>
            </w:r>
            <w:r w:rsidRPr="00AB65E2">
              <w:rPr>
                <w:rFonts w:cstheme="minorHAnsi"/>
                <w:b/>
                <w:bCs/>
                <w:sz w:val="24"/>
                <w:szCs w:val="24"/>
                <w:vertAlign w:val="superscript"/>
              </w:rPr>
              <w:t>-1</w:t>
            </w:r>
            <w:r w:rsidRPr="00AB65E2">
              <w:rPr>
                <w:rFonts w:cstheme="minorHAnsi"/>
                <w:b/>
                <w:bCs/>
                <w:sz w:val="24"/>
                <w:szCs w:val="24"/>
              </w:rPr>
              <w:t>, kameniva R2 1,1 g.ml</w:t>
            </w:r>
            <w:r w:rsidRPr="00AB65E2">
              <w:rPr>
                <w:rFonts w:cstheme="minorHAnsi"/>
                <w:b/>
                <w:bCs/>
                <w:sz w:val="24"/>
                <w:szCs w:val="24"/>
                <w:vertAlign w:val="superscript"/>
              </w:rPr>
              <w:t>-1</w:t>
            </w:r>
          </w:p>
          <w:p w:rsidR="00AB65E2" w:rsidRPr="00AB65E2" w:rsidRDefault="00AB65E2" w:rsidP="00AB65E2">
            <w:pPr>
              <w:ind w:firstLine="708"/>
              <w:jc w:val="both"/>
              <w:rPr>
                <w:rFonts w:cstheme="minorHAnsi"/>
                <w:b/>
                <w:bCs/>
                <w:sz w:val="24"/>
                <w:szCs w:val="24"/>
              </w:rPr>
            </w:pPr>
          </w:p>
          <w:p w:rsidR="00AB65E2" w:rsidRPr="00AB65E2" w:rsidRDefault="00AB65E2" w:rsidP="00AB65E2">
            <w:pPr>
              <w:numPr>
                <w:ilvl w:val="0"/>
                <w:numId w:val="1"/>
              </w:numPr>
              <w:jc w:val="both"/>
              <w:rPr>
                <w:rFonts w:cstheme="minorHAnsi"/>
                <w:b/>
                <w:bCs/>
                <w:sz w:val="24"/>
                <w:szCs w:val="24"/>
              </w:rPr>
            </w:pPr>
            <w:r w:rsidRPr="00AB65E2">
              <w:rPr>
                <w:rFonts w:cstheme="minorHAnsi"/>
                <w:b/>
                <w:bCs/>
                <w:sz w:val="24"/>
                <w:szCs w:val="24"/>
              </w:rPr>
              <w:t>Distribuce velikosti částic kameniva</w:t>
            </w:r>
          </w:p>
          <w:p w:rsidR="00AB65E2" w:rsidRPr="00AB65E2" w:rsidRDefault="00AB65E2" w:rsidP="00AB65E2">
            <w:pPr>
              <w:jc w:val="both"/>
              <w:rPr>
                <w:rFonts w:cstheme="minorHAnsi"/>
                <w:b/>
                <w:bCs/>
                <w:sz w:val="24"/>
                <w:szCs w:val="24"/>
              </w:rPr>
            </w:pPr>
          </w:p>
          <w:p w:rsidR="00AB65E2" w:rsidRPr="00AB65E2" w:rsidRDefault="00AB65E2" w:rsidP="00AB65E2">
            <w:pPr>
              <w:jc w:val="both"/>
              <w:rPr>
                <w:rFonts w:cstheme="minorHAnsi"/>
                <w:sz w:val="24"/>
                <w:szCs w:val="24"/>
              </w:rPr>
            </w:pPr>
            <w:r w:rsidRPr="00AB65E2">
              <w:rPr>
                <w:rFonts w:cstheme="minorHAnsi"/>
                <w:sz w:val="24"/>
                <w:szCs w:val="24"/>
              </w:rPr>
              <w:t xml:space="preserve">Plnivo malt bylo proseto na sítech s průměrem ok od 4 mm do </w:t>
            </w:r>
            <w:r w:rsidRPr="00AB65E2">
              <w:rPr>
                <w:rFonts w:cstheme="minorHAnsi"/>
                <w:sz w:val="24"/>
                <w:szCs w:val="24"/>
                <w:lang w:val="en-US"/>
              </w:rPr>
              <w:t>&lt;0.063 mm.</w:t>
            </w:r>
            <w:r w:rsidRPr="00AB65E2">
              <w:rPr>
                <w:rFonts w:cstheme="minorHAnsi"/>
                <w:sz w:val="24"/>
                <w:szCs w:val="24"/>
              </w:rPr>
              <w:t xml:space="preserve"> Vážením frakcí zachycených na sítě o daném průměru ok byla zjištěna distribuce velikosti částic plniva. Na základě dat byla sestavena kumulativní zrnitostní křivka plniva všech tří vzorků, distribuce velikosti částic byla u všech tří vzorků navzájem porovnána.</w:t>
            </w:r>
          </w:p>
          <w:p w:rsidR="00AB65E2" w:rsidRPr="00AB65E2" w:rsidRDefault="00AB65E2" w:rsidP="00AB65E2">
            <w:pPr>
              <w:ind w:firstLine="708"/>
              <w:jc w:val="both"/>
              <w:rPr>
                <w:rFonts w:cstheme="minorHAnsi"/>
                <w:b/>
                <w:bCs/>
                <w:sz w:val="24"/>
                <w:szCs w:val="24"/>
              </w:rPr>
            </w:pPr>
          </w:p>
          <w:p w:rsidR="00AB65E2" w:rsidRPr="00AB65E2" w:rsidRDefault="00AB65E2" w:rsidP="00AB65E2">
            <w:pPr>
              <w:rPr>
                <w:rFonts w:cstheme="minorHAnsi"/>
                <w:sz w:val="24"/>
                <w:szCs w:val="24"/>
              </w:rPr>
            </w:pPr>
          </w:p>
          <w:p w:rsidR="00AB65E2" w:rsidRPr="00AB65E2" w:rsidRDefault="00AB65E2" w:rsidP="00AB65E2">
            <w:pPr>
              <w:rPr>
                <w:rFonts w:cstheme="minorHAnsi"/>
                <w:sz w:val="24"/>
                <w:szCs w:val="24"/>
              </w:rPr>
            </w:pPr>
            <w:r w:rsidRPr="00AB65E2">
              <w:rPr>
                <w:rFonts w:cstheme="minorHAnsi"/>
                <w:b/>
                <w:bCs/>
                <w:noProof/>
                <w:sz w:val="24"/>
                <w:szCs w:val="24"/>
                <w:lang w:eastAsia="cs-CZ"/>
              </w:rPr>
              <w:lastRenderedPageBreak/>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4050030</wp:posOffset>
                      </wp:positionV>
                      <wp:extent cx="228600" cy="0"/>
                      <wp:effectExtent l="21590" t="15240" r="16510" b="13335"/>
                      <wp:wrapSquare wrapText="bothSides"/>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4BBA" id="Přímá spojnic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18.9pt" to="35.85pt,3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" strokecolor="red" strokeweight="2pt">
                      <w10:wrap type="square"/>
                    </v:line>
                  </w:pict>
                </mc:Fallback>
              </mc:AlternateContent>
            </w:r>
            <w:r w:rsidRPr="00AB65E2">
              <w:rPr>
                <w:rFonts w:cstheme="minorHAnsi"/>
                <w:b/>
                <w:bCs/>
                <w:noProof/>
                <w:sz w:val="24"/>
                <w:szCs w:val="24"/>
                <w:lang w:eastAsia="cs-CZ"/>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11430</wp:posOffset>
                  </wp:positionV>
                  <wp:extent cx="6763385" cy="3656965"/>
                  <wp:effectExtent l="0" t="0" r="4445" b="4445"/>
                  <wp:wrapSquare wrapText="bothSides"/>
                  <wp:docPr id="4" name="Graf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AB65E2" w:rsidRPr="00AB65E2" w:rsidRDefault="00AB65E2" w:rsidP="00AB65E2">
            <w:pPr>
              <w:ind w:firstLine="708"/>
              <w:rPr>
                <w:rFonts w:cstheme="minorHAnsi"/>
                <w:sz w:val="24"/>
                <w:szCs w:val="24"/>
              </w:rPr>
            </w:pPr>
            <w:r w:rsidRPr="00AB65E2">
              <w:rPr>
                <w:rFonts w:cstheme="minorHAnsi"/>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55245</wp:posOffset>
                      </wp:positionV>
                      <wp:extent cx="228600" cy="0"/>
                      <wp:effectExtent l="21590" t="13335" r="16510" b="15240"/>
                      <wp:wrapSquare wrapText="bothSides"/>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6C9A"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35pt" to="35.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" strokeweight="2pt">
                      <w10:wrap type="square"/>
                    </v:line>
                  </w:pict>
                </mc:Fallback>
              </mc:AlternateContent>
            </w:r>
            <w:r w:rsidRPr="00AB65E2">
              <w:rPr>
                <w:rFonts w:cstheme="minorHAnsi"/>
                <w:sz w:val="24"/>
                <w:szCs w:val="24"/>
              </w:rPr>
              <w:t xml:space="preserve">Refektář, 3. zrcadlo, vzorek </w:t>
            </w:r>
            <w:r w:rsidRPr="00AB65E2">
              <w:rPr>
                <w:rFonts w:cstheme="minorHAnsi"/>
                <w:b/>
                <w:bCs/>
                <w:sz w:val="24"/>
                <w:szCs w:val="24"/>
              </w:rPr>
              <w:t xml:space="preserve">R1  </w:t>
            </w:r>
            <w:r w:rsidRPr="00AB65E2">
              <w:rPr>
                <w:rFonts w:cstheme="minorHAnsi"/>
                <w:sz w:val="24"/>
                <w:szCs w:val="24"/>
              </w:rPr>
              <w:t xml:space="preserve">                </w:t>
            </w:r>
          </w:p>
          <w:p w:rsidR="00AB65E2" w:rsidRPr="00AB65E2" w:rsidRDefault="00AB65E2" w:rsidP="00AB65E2">
            <w:pPr>
              <w:rPr>
                <w:rFonts w:cstheme="minorHAnsi"/>
                <w:sz w:val="24"/>
                <w:szCs w:val="24"/>
              </w:rPr>
            </w:pPr>
            <w:r w:rsidRPr="00AB65E2">
              <w:rPr>
                <w:rFonts w:cstheme="minorHAnsi"/>
                <w:sz w:val="24"/>
                <w:szCs w:val="24"/>
              </w:rPr>
              <w:tab/>
              <w:t xml:space="preserve">Refektář, 4. zrcadlo, vzorek </w:t>
            </w:r>
            <w:r w:rsidRPr="00AB65E2">
              <w:rPr>
                <w:rFonts w:cstheme="minorHAnsi"/>
                <w:b/>
                <w:bCs/>
                <w:sz w:val="24"/>
                <w:szCs w:val="24"/>
              </w:rPr>
              <w:t>R2</w:t>
            </w:r>
          </w:p>
          <w:p w:rsidR="00AB65E2" w:rsidRPr="00AB65E2" w:rsidRDefault="00AB65E2" w:rsidP="00AB65E2">
            <w:pPr>
              <w:rPr>
                <w:rFonts w:cstheme="minorHAnsi"/>
                <w:b/>
                <w:bCs/>
                <w:sz w:val="24"/>
                <w:szCs w:val="24"/>
              </w:rPr>
            </w:pPr>
            <w:r w:rsidRPr="00AB65E2">
              <w:rPr>
                <w:rFonts w:cstheme="minorHAnsi"/>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74930</wp:posOffset>
                      </wp:positionV>
                      <wp:extent cx="228600" cy="0"/>
                      <wp:effectExtent l="21590" t="15875" r="16510" b="12700"/>
                      <wp:wrapSquare wrapText="bothSides"/>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E084"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5.9pt" to="35.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" strokecolor="blue" strokeweight="2pt">
                      <w10:wrap type="square"/>
                    </v:line>
                  </w:pict>
                </mc:Fallback>
              </mc:AlternateContent>
            </w:r>
            <w:r w:rsidRPr="00AB65E2">
              <w:rPr>
                <w:rFonts w:cstheme="minorHAnsi"/>
                <w:sz w:val="24"/>
                <w:szCs w:val="24"/>
              </w:rPr>
              <w:tab/>
              <w:t xml:space="preserve">Refektář, 2. zrcadlo, vzorek </w:t>
            </w:r>
            <w:r w:rsidRPr="00AB65E2">
              <w:rPr>
                <w:rFonts w:cstheme="minorHAnsi"/>
                <w:b/>
                <w:bCs/>
                <w:sz w:val="24"/>
                <w:szCs w:val="24"/>
              </w:rPr>
              <w:t>R3</w:t>
            </w:r>
          </w:p>
          <w:p w:rsidR="00AB65E2" w:rsidRPr="00AB65E2" w:rsidRDefault="00AB65E2" w:rsidP="00AB65E2">
            <w:pPr>
              <w:rPr>
                <w:rFonts w:cstheme="minorHAnsi"/>
                <w:b/>
                <w:bCs/>
                <w:sz w:val="24"/>
                <w:szCs w:val="24"/>
              </w:rPr>
            </w:pPr>
            <w:r w:rsidRPr="00AB65E2">
              <w:rPr>
                <w:rFonts w:cstheme="minorHAnsi"/>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109220</wp:posOffset>
                      </wp:positionV>
                      <wp:extent cx="228600" cy="0"/>
                      <wp:effectExtent l="13970" t="13335" r="14605" b="15240"/>
                      <wp:wrapSquare wrapText="bothSides"/>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54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BA44"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pt" to="3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" strokecolor="#396" strokeweight="2pt">
                      <w10:wrap type="square"/>
                    </v:line>
                  </w:pict>
                </mc:Fallback>
              </mc:AlternateContent>
            </w:r>
            <w:r w:rsidRPr="00AB65E2">
              <w:rPr>
                <w:rFonts w:cstheme="minorHAnsi"/>
                <w:sz w:val="24"/>
                <w:szCs w:val="24"/>
              </w:rPr>
              <w:tab/>
              <w:t xml:space="preserve">Očistcová kaple, vzorek </w:t>
            </w:r>
            <w:r w:rsidRPr="00AB65E2">
              <w:rPr>
                <w:rFonts w:cstheme="minorHAnsi"/>
                <w:b/>
                <w:bCs/>
                <w:sz w:val="24"/>
                <w:szCs w:val="24"/>
              </w:rPr>
              <w:t>OK1</w:t>
            </w:r>
          </w:p>
          <w:p w:rsidR="00AB65E2" w:rsidRPr="00AB65E2" w:rsidRDefault="00AB65E2" w:rsidP="00AB65E2">
            <w:pPr>
              <w:ind w:firstLine="708"/>
              <w:jc w:val="both"/>
              <w:rPr>
                <w:rFonts w:cstheme="minorHAnsi"/>
                <w:b/>
                <w:bCs/>
                <w:sz w:val="24"/>
                <w:szCs w:val="24"/>
              </w:rPr>
            </w:pPr>
          </w:p>
          <w:p w:rsidR="00AB65E2" w:rsidRPr="00AB65E2" w:rsidRDefault="00AB65E2" w:rsidP="00AB65E2">
            <w:pPr>
              <w:ind w:firstLine="708"/>
              <w:jc w:val="both"/>
              <w:rPr>
                <w:rFonts w:cstheme="minorHAnsi"/>
                <w:b/>
                <w:bCs/>
                <w:sz w:val="24"/>
                <w:szCs w:val="24"/>
              </w:rPr>
            </w:pPr>
          </w:p>
          <w:p w:rsidR="00AB65E2" w:rsidRPr="00AB65E2" w:rsidRDefault="00AB65E2" w:rsidP="00AB65E2">
            <w:pPr>
              <w:numPr>
                <w:ilvl w:val="0"/>
                <w:numId w:val="1"/>
              </w:numPr>
              <w:jc w:val="both"/>
              <w:rPr>
                <w:rFonts w:cstheme="minorHAnsi"/>
                <w:b/>
                <w:bCs/>
                <w:sz w:val="24"/>
                <w:szCs w:val="24"/>
              </w:rPr>
            </w:pPr>
            <w:r w:rsidRPr="00AB65E2">
              <w:rPr>
                <w:rFonts w:cstheme="minorHAnsi"/>
                <w:b/>
                <w:bCs/>
                <w:sz w:val="24"/>
                <w:szCs w:val="24"/>
              </w:rPr>
              <w:t>Analýza organických aditiv</w:t>
            </w:r>
          </w:p>
          <w:p w:rsidR="00AB65E2" w:rsidRPr="00AB65E2" w:rsidRDefault="00AB65E2" w:rsidP="00AB65E2">
            <w:pPr>
              <w:jc w:val="both"/>
              <w:rPr>
                <w:rFonts w:cstheme="minorHAnsi"/>
                <w:b/>
                <w:bCs/>
                <w:sz w:val="24"/>
                <w:szCs w:val="24"/>
              </w:rPr>
            </w:pPr>
          </w:p>
          <w:p w:rsidR="00AB65E2" w:rsidRPr="00AB65E2" w:rsidRDefault="00AB65E2" w:rsidP="00AB65E2">
            <w:pPr>
              <w:pStyle w:val="Zkladntext"/>
              <w:rPr>
                <w:rFonts w:cstheme="minorHAnsi"/>
                <w:sz w:val="24"/>
                <w:szCs w:val="24"/>
              </w:rPr>
            </w:pPr>
            <w:r w:rsidRPr="00AB65E2">
              <w:rPr>
                <w:rFonts w:cstheme="minorHAnsi"/>
                <w:sz w:val="24"/>
                <w:szCs w:val="24"/>
              </w:rPr>
              <w:t xml:space="preserve">S negativním výsledkem proběhl důkaz na organicky vázaný dusík a sulfidicky vázanou síru, negativní byla i  zkouška na přítomnost proteinů (indikuje nepřítomnost proteinů popř., jejich rozkladných produktů). </w:t>
            </w:r>
          </w:p>
          <w:p w:rsidR="00AB65E2" w:rsidRPr="00AB65E2" w:rsidRDefault="00AB65E2" w:rsidP="00AB65E2">
            <w:pPr>
              <w:ind w:firstLine="708"/>
              <w:jc w:val="both"/>
              <w:rPr>
                <w:rFonts w:cstheme="minorHAnsi"/>
                <w:b/>
                <w:bCs/>
                <w:sz w:val="24"/>
                <w:szCs w:val="24"/>
              </w:rPr>
            </w:pPr>
            <w:r w:rsidRPr="00AB65E2">
              <w:rPr>
                <w:rFonts w:cstheme="minorHAnsi"/>
                <w:b/>
                <w:bCs/>
                <w:sz w:val="24"/>
                <w:szCs w:val="24"/>
              </w:rPr>
              <w:t>Souhrn:</w:t>
            </w:r>
          </w:p>
          <w:p w:rsidR="00AB65E2" w:rsidRPr="00AB65E2" w:rsidRDefault="00AB65E2" w:rsidP="00AB65E2">
            <w:pPr>
              <w:ind w:firstLine="708"/>
              <w:jc w:val="both"/>
              <w:rPr>
                <w:rFonts w:cstheme="minorHAnsi"/>
                <w:sz w:val="24"/>
                <w:szCs w:val="24"/>
              </w:rPr>
            </w:pPr>
          </w:p>
          <w:p w:rsidR="00AB65E2" w:rsidRPr="00AB65E2" w:rsidRDefault="00AB65E2" w:rsidP="00AB65E2">
            <w:pPr>
              <w:ind w:firstLine="708"/>
              <w:jc w:val="both"/>
              <w:rPr>
                <w:rFonts w:cstheme="minorHAnsi"/>
                <w:sz w:val="24"/>
                <w:szCs w:val="24"/>
              </w:rPr>
            </w:pPr>
            <w:r w:rsidRPr="00AB65E2">
              <w:rPr>
                <w:rFonts w:cstheme="minorHAnsi"/>
                <w:sz w:val="24"/>
                <w:szCs w:val="24"/>
              </w:rPr>
              <w:t xml:space="preserve">Cílem analýzy bylo zjištění složení omítkových vrstev, které tvoří podklad pod nástropní malby v Refektáři Piaristické koleje v Litomyšli. Pro srovnání byla do průzkumu zařazena analýza omítkových vrstev provedená v roce 2004 v rámci průzkumu při restaurování Očistcové kaple v Piaristické koleji v Litomyšli. </w:t>
            </w:r>
          </w:p>
          <w:p w:rsidR="00AB65E2" w:rsidRPr="00AB65E2" w:rsidRDefault="00AB65E2" w:rsidP="00AB65E2">
            <w:pPr>
              <w:jc w:val="both"/>
              <w:rPr>
                <w:rFonts w:cstheme="minorHAnsi"/>
                <w:sz w:val="24"/>
                <w:szCs w:val="24"/>
              </w:rPr>
            </w:pPr>
          </w:p>
          <w:p w:rsidR="00AB65E2" w:rsidRPr="00AB65E2" w:rsidRDefault="00AB65E2" w:rsidP="00AB65E2">
            <w:pPr>
              <w:pStyle w:val="Nadpis3"/>
              <w:outlineLvl w:val="2"/>
              <w:rPr>
                <w:rFonts w:asciiTheme="minorHAnsi" w:hAnsiTheme="minorHAnsi" w:cstheme="minorHAnsi"/>
              </w:rPr>
            </w:pPr>
            <w:r w:rsidRPr="00AB65E2">
              <w:rPr>
                <w:rFonts w:asciiTheme="minorHAnsi" w:hAnsiTheme="minorHAnsi" w:cstheme="minorHAnsi"/>
              </w:rPr>
              <w:t>Refektář, Piaristická kolej, Litomyšl</w:t>
            </w:r>
          </w:p>
          <w:p w:rsidR="00AB65E2" w:rsidRPr="00AB65E2" w:rsidRDefault="00AB65E2" w:rsidP="00AB65E2">
            <w:pPr>
              <w:rPr>
                <w:rFonts w:cstheme="minorHAnsi"/>
                <w:sz w:val="24"/>
                <w:szCs w:val="24"/>
              </w:rPr>
            </w:pPr>
          </w:p>
          <w:p w:rsidR="00AB65E2" w:rsidRPr="00AB65E2" w:rsidRDefault="00AB65E2" w:rsidP="00AB65E2">
            <w:pPr>
              <w:numPr>
                <w:ilvl w:val="0"/>
                <w:numId w:val="1"/>
              </w:numPr>
              <w:jc w:val="both"/>
              <w:rPr>
                <w:rFonts w:cstheme="minorHAnsi"/>
                <w:sz w:val="24"/>
                <w:szCs w:val="24"/>
              </w:rPr>
            </w:pPr>
            <w:r w:rsidRPr="00AB65E2">
              <w:rPr>
                <w:rFonts w:cstheme="minorHAnsi"/>
                <w:sz w:val="24"/>
                <w:szCs w:val="24"/>
              </w:rPr>
              <w:t>Při přípravě malty v refektáři Piaristické koleje (</w:t>
            </w:r>
            <w:r w:rsidRPr="00AB65E2">
              <w:rPr>
                <w:rFonts w:cstheme="minorHAnsi"/>
                <w:b/>
                <w:bCs/>
                <w:i/>
                <w:iCs/>
                <w:sz w:val="24"/>
                <w:szCs w:val="24"/>
                <w:u w:val="single"/>
              </w:rPr>
              <w:t>R1, R2, R3</w:t>
            </w:r>
            <w:r w:rsidRPr="00AB65E2">
              <w:rPr>
                <w:rFonts w:cstheme="minorHAnsi"/>
                <w:sz w:val="24"/>
                <w:szCs w:val="24"/>
              </w:rPr>
              <w:t xml:space="preserve">) byl použit poměr míšení vápenné kaše ku písku v hmotnostních dílech shodně 1 : 1,2 (4. zrcadlo) a 1 : 1,1 (3. zrcadlo). U vzorku R3 (2.zrcadlo) byl zjištěn poměr míšení vápenné kaše ku písku vyšší - 1:1,7 ve hmotnostních dílech. Přepočítáno na objemové díly bylo při přípravě omítky použito poměru vápenná kaše : písek 1 : 1,2 (4. zrcadlo), resp. 1 : 1,1 (3. zrcadlo), v místě odběru vzorku R3 (2. zrcadlo) poměr 1:1,8. </w:t>
            </w:r>
          </w:p>
          <w:p w:rsidR="00AB65E2" w:rsidRPr="00AB65E2" w:rsidRDefault="00AB65E2" w:rsidP="00AB65E2">
            <w:pPr>
              <w:ind w:left="360"/>
              <w:jc w:val="both"/>
              <w:rPr>
                <w:rFonts w:cstheme="minorHAnsi"/>
                <w:sz w:val="24"/>
                <w:szCs w:val="24"/>
              </w:rPr>
            </w:pPr>
          </w:p>
          <w:p w:rsidR="00AB65E2" w:rsidRPr="00AB65E2" w:rsidRDefault="00AB65E2" w:rsidP="00AB65E2">
            <w:pPr>
              <w:pStyle w:val="Zkladntext"/>
              <w:numPr>
                <w:ilvl w:val="0"/>
                <w:numId w:val="1"/>
              </w:numPr>
              <w:spacing w:after="0"/>
              <w:jc w:val="both"/>
              <w:rPr>
                <w:rFonts w:cstheme="minorHAnsi"/>
                <w:sz w:val="24"/>
                <w:szCs w:val="24"/>
              </w:rPr>
            </w:pPr>
            <w:r w:rsidRPr="00AB65E2">
              <w:rPr>
                <w:rFonts w:cstheme="minorHAnsi"/>
                <w:sz w:val="24"/>
                <w:szCs w:val="24"/>
              </w:rPr>
              <w:lastRenderedPageBreak/>
              <w:t>Malta byla pravděpodobně připravena z bílého vzdušného vápna (nízký obsah SiO</w:t>
            </w:r>
            <w:r w:rsidRPr="00AB65E2">
              <w:rPr>
                <w:rFonts w:cstheme="minorHAnsi"/>
                <w:sz w:val="24"/>
                <w:szCs w:val="24"/>
                <w:vertAlign w:val="subscript"/>
              </w:rPr>
              <w:t>2</w:t>
            </w:r>
            <w:r w:rsidRPr="00AB65E2">
              <w:rPr>
                <w:rFonts w:cstheme="minorHAnsi"/>
                <w:sz w:val="24"/>
                <w:szCs w:val="24"/>
              </w:rPr>
              <w:t xml:space="preserve"> ve vzorku R1 0,5 %). Zvýšený obsah rozpustného SiO</w:t>
            </w:r>
            <w:r w:rsidRPr="00AB65E2">
              <w:rPr>
                <w:rFonts w:cstheme="minorHAnsi"/>
                <w:sz w:val="24"/>
                <w:szCs w:val="24"/>
                <w:vertAlign w:val="subscript"/>
              </w:rPr>
              <w:t>2</w:t>
            </w:r>
            <w:r w:rsidRPr="00AB65E2">
              <w:rPr>
                <w:rFonts w:cstheme="minorHAnsi"/>
                <w:sz w:val="24"/>
                <w:szCs w:val="24"/>
              </w:rPr>
              <w:t xml:space="preserve"> ve vzorku R2 10,4% (vztaženo na rozpustné složky) je způsoben pravděpodobně vysokým obsahem jemnozrnných až prachových částic v kamenivu.</w:t>
            </w:r>
          </w:p>
          <w:p w:rsidR="00AB65E2" w:rsidRPr="00AB65E2" w:rsidRDefault="00AB65E2" w:rsidP="00AB65E2">
            <w:pPr>
              <w:pStyle w:val="Zkladntext"/>
              <w:rPr>
                <w:rFonts w:cstheme="minorHAnsi"/>
                <w:sz w:val="24"/>
                <w:szCs w:val="24"/>
              </w:rPr>
            </w:pPr>
          </w:p>
          <w:p w:rsidR="00AB65E2" w:rsidRPr="00AB65E2" w:rsidRDefault="00AB65E2" w:rsidP="00AB65E2">
            <w:pPr>
              <w:pStyle w:val="Zkladntext"/>
              <w:numPr>
                <w:ilvl w:val="0"/>
                <w:numId w:val="1"/>
              </w:numPr>
              <w:spacing w:after="0"/>
              <w:jc w:val="both"/>
              <w:rPr>
                <w:rFonts w:cstheme="minorHAnsi"/>
                <w:sz w:val="24"/>
                <w:szCs w:val="24"/>
              </w:rPr>
            </w:pPr>
            <w:r w:rsidRPr="00AB65E2">
              <w:rPr>
                <w:rFonts w:cstheme="minorHAnsi"/>
                <w:sz w:val="24"/>
                <w:szCs w:val="24"/>
              </w:rPr>
              <w:t xml:space="preserve"> Plnivem obou malt je jemnozrnný písek s vysokým podílem velmi jemných částic (zastoupení částic d ≤ 0.063 mm cca 25 %). Distribuce velikosti částic je úzká, &lt;0,063 – 0,5&gt; mm, tyto částice tvoří cca 80 % plniva omítky. </w:t>
            </w:r>
          </w:p>
          <w:p w:rsidR="00AB65E2" w:rsidRPr="00AB65E2" w:rsidRDefault="00AB65E2" w:rsidP="00AB65E2">
            <w:pPr>
              <w:pStyle w:val="Zkladntext"/>
              <w:rPr>
                <w:rFonts w:cstheme="minorHAnsi"/>
                <w:sz w:val="24"/>
                <w:szCs w:val="24"/>
              </w:rPr>
            </w:pPr>
          </w:p>
          <w:p w:rsidR="00AB65E2" w:rsidRPr="00AB65E2" w:rsidRDefault="00AB65E2" w:rsidP="00AB65E2">
            <w:pPr>
              <w:pStyle w:val="Zkladntext"/>
              <w:numPr>
                <w:ilvl w:val="0"/>
                <w:numId w:val="1"/>
              </w:numPr>
              <w:spacing w:after="0"/>
              <w:jc w:val="both"/>
              <w:rPr>
                <w:rFonts w:cstheme="minorHAnsi"/>
                <w:sz w:val="24"/>
                <w:szCs w:val="24"/>
              </w:rPr>
            </w:pPr>
            <w:r w:rsidRPr="00AB65E2">
              <w:rPr>
                <w:rFonts w:cstheme="minorHAnsi"/>
                <w:sz w:val="24"/>
                <w:szCs w:val="24"/>
              </w:rPr>
              <w:t>Velký obsah prachových částic v plnivu-písku (d ≤ 0.063 mm) je pravděpodobně (i přes vysoký podíl pojiva v maltě) příčinou zhoršené kvality omítkových vrstev.</w:t>
            </w:r>
          </w:p>
          <w:p w:rsidR="00AB65E2" w:rsidRPr="00AB65E2" w:rsidRDefault="00AB65E2" w:rsidP="00AB65E2">
            <w:pPr>
              <w:pStyle w:val="Zkladntext"/>
              <w:rPr>
                <w:rFonts w:cstheme="minorHAnsi"/>
                <w:sz w:val="24"/>
                <w:szCs w:val="24"/>
              </w:rPr>
            </w:pPr>
          </w:p>
          <w:p w:rsidR="00AB65E2" w:rsidRPr="00AB65E2" w:rsidRDefault="00AB65E2" w:rsidP="00AB65E2">
            <w:pPr>
              <w:pStyle w:val="Zkladntext"/>
              <w:numPr>
                <w:ilvl w:val="0"/>
                <w:numId w:val="1"/>
              </w:numPr>
              <w:spacing w:after="0"/>
              <w:jc w:val="both"/>
              <w:rPr>
                <w:rFonts w:cstheme="minorHAnsi"/>
                <w:sz w:val="24"/>
                <w:szCs w:val="24"/>
              </w:rPr>
            </w:pPr>
            <w:r w:rsidRPr="00AB65E2">
              <w:rPr>
                <w:rFonts w:cstheme="minorHAnsi"/>
                <w:sz w:val="24"/>
                <w:szCs w:val="24"/>
              </w:rPr>
              <w:t>Příčinou žluto-hnědých skvrn, které vznikají při styku omítky s vodou nebo vodnými roztoky, je přítomnost látek lehce rozpustných ve vodě. V uvedené směsi byla dokázána přítomnost sloučenin železa. V maltách nebyla identifikována přítomnost proteinů, popř. jejich rozkladných produktů.  Zdrojem vysokého obsahu Fe iontů by mohl být použitý písek, který se vyznačovala velkým množství velmi jemných až prachových  částic. Na základě analýzy lze předpokládat, že uvedené látky není možné proti budoucí opětovné migraci v kontaktu s vodou stabilizovat (nelze převést na nerozpustné produkty).</w:t>
            </w:r>
          </w:p>
          <w:p w:rsidR="00AB65E2" w:rsidRPr="00AB65E2" w:rsidRDefault="00AB65E2" w:rsidP="00AB65E2">
            <w:pPr>
              <w:pStyle w:val="Zkladntext"/>
              <w:rPr>
                <w:rFonts w:cstheme="minorHAnsi"/>
                <w:sz w:val="24"/>
                <w:szCs w:val="24"/>
              </w:rPr>
            </w:pPr>
          </w:p>
          <w:p w:rsidR="00AB65E2" w:rsidRPr="00AB65E2" w:rsidRDefault="00AB65E2" w:rsidP="00AB65E2">
            <w:pPr>
              <w:pStyle w:val="Zkladntext"/>
              <w:rPr>
                <w:rFonts w:cstheme="minorHAnsi"/>
                <w:b/>
                <w:bCs/>
                <w:sz w:val="24"/>
                <w:szCs w:val="24"/>
              </w:rPr>
            </w:pPr>
            <w:r w:rsidRPr="00AB65E2">
              <w:rPr>
                <w:rFonts w:cstheme="minorHAnsi"/>
                <w:b/>
                <w:bCs/>
                <w:sz w:val="24"/>
                <w:szCs w:val="24"/>
              </w:rPr>
              <w:t>Očistcová kaple, Piaristická kolej, Litomyšl</w:t>
            </w:r>
          </w:p>
          <w:p w:rsidR="00AB65E2" w:rsidRPr="00AB65E2" w:rsidRDefault="00AB65E2" w:rsidP="00AB65E2">
            <w:pPr>
              <w:pStyle w:val="Zkladntext"/>
              <w:rPr>
                <w:rFonts w:cstheme="minorHAnsi"/>
                <w:sz w:val="24"/>
                <w:szCs w:val="24"/>
              </w:rPr>
            </w:pPr>
          </w:p>
          <w:p w:rsidR="00AB65E2" w:rsidRPr="00AB65E2" w:rsidRDefault="00AB65E2" w:rsidP="00AB65E2">
            <w:pPr>
              <w:pStyle w:val="Zkladntext"/>
              <w:numPr>
                <w:ilvl w:val="0"/>
                <w:numId w:val="2"/>
              </w:numPr>
              <w:spacing w:after="0"/>
              <w:jc w:val="both"/>
              <w:rPr>
                <w:rFonts w:cstheme="minorHAnsi"/>
                <w:sz w:val="24"/>
                <w:szCs w:val="24"/>
              </w:rPr>
            </w:pPr>
            <w:r w:rsidRPr="00AB65E2">
              <w:rPr>
                <w:rFonts w:cstheme="minorHAnsi"/>
                <w:sz w:val="24"/>
                <w:szCs w:val="24"/>
              </w:rPr>
              <w:t>V Očistcové kapli byla omítka připravena poměrem použitím poměru míšení pojiva : plnivu 1:1,1 (hm.d.), resp. 1:1,3 (obj. d.). Množství pojiva bylo přepočítáno na množství vápenné kaše.</w:t>
            </w:r>
          </w:p>
          <w:p w:rsidR="00AB65E2" w:rsidRPr="00AB65E2" w:rsidRDefault="00AB65E2" w:rsidP="00AB65E2">
            <w:pPr>
              <w:pStyle w:val="Zkladntext"/>
              <w:ind w:left="360"/>
              <w:rPr>
                <w:rFonts w:cstheme="minorHAnsi"/>
                <w:sz w:val="24"/>
                <w:szCs w:val="24"/>
              </w:rPr>
            </w:pPr>
          </w:p>
          <w:p w:rsidR="00AB65E2" w:rsidRPr="00AB65E2" w:rsidRDefault="00AB65E2" w:rsidP="00AB65E2">
            <w:pPr>
              <w:pStyle w:val="Zkladntext"/>
              <w:numPr>
                <w:ilvl w:val="0"/>
                <w:numId w:val="2"/>
              </w:numPr>
              <w:spacing w:after="0"/>
              <w:jc w:val="both"/>
              <w:rPr>
                <w:rFonts w:cstheme="minorHAnsi"/>
                <w:sz w:val="24"/>
                <w:szCs w:val="24"/>
              </w:rPr>
            </w:pPr>
            <w:r w:rsidRPr="00AB65E2">
              <w:rPr>
                <w:rFonts w:cstheme="minorHAnsi"/>
                <w:sz w:val="24"/>
                <w:szCs w:val="24"/>
              </w:rPr>
              <w:t xml:space="preserve">Distribuce velikosti částic plniva je přibližně stejná s distribucí velikosti částic plniva použitého při formulaci jádrové omítky v refektáři. Převažují jemnozrnné částice do velikosti 0,5 mm, které tvoří cca 95 % z celkového množství kameniva. Zastoupení prachových částic s průměrem d ≤ 0.063 mm je vysoká, tvoří cca 17 % z celkového množství plniva v maltě.  </w:t>
            </w:r>
          </w:p>
          <w:p w:rsidR="00AB65E2" w:rsidRPr="00AB65E2" w:rsidRDefault="00AB65E2" w:rsidP="00AB65E2">
            <w:pPr>
              <w:pStyle w:val="Zkladntext"/>
              <w:rPr>
                <w:rFonts w:cstheme="minorHAnsi"/>
                <w:sz w:val="24"/>
                <w:szCs w:val="24"/>
              </w:rPr>
            </w:pPr>
          </w:p>
          <w:p w:rsidR="00AB65E2" w:rsidRPr="00AB65E2" w:rsidRDefault="00AB65E2" w:rsidP="00AB65E2">
            <w:pPr>
              <w:pStyle w:val="Zkladntext"/>
              <w:numPr>
                <w:ilvl w:val="0"/>
                <w:numId w:val="2"/>
              </w:numPr>
              <w:spacing w:after="0"/>
              <w:jc w:val="both"/>
              <w:rPr>
                <w:rFonts w:cstheme="minorHAnsi"/>
                <w:sz w:val="24"/>
                <w:szCs w:val="24"/>
              </w:rPr>
            </w:pPr>
            <w:r w:rsidRPr="00AB65E2">
              <w:rPr>
                <w:rFonts w:cstheme="minorHAnsi"/>
                <w:sz w:val="24"/>
                <w:szCs w:val="24"/>
              </w:rPr>
              <w:t xml:space="preserve">Omítka se vyznačuje špatnou kvalitou, při dotyku se drolí, opadává. Příčinou, stejně jako u omítkových vrstev v refektáři, by mohla být úzká distribuce velikosti částic a vysoký podíl jemnozrnných až prachových částic použitého plniva. </w:t>
            </w:r>
          </w:p>
          <w:p w:rsidR="00AA48FC" w:rsidRPr="00AB65E2" w:rsidRDefault="00AA48FC" w:rsidP="00AB65E2">
            <w:pPr>
              <w:rPr>
                <w:rFonts w:cstheme="minorHAnsi"/>
                <w:sz w:val="24"/>
                <w:szCs w:val="24"/>
              </w:rPr>
            </w:pPr>
          </w:p>
        </w:tc>
      </w:tr>
    </w:tbl>
    <w:p w:rsidR="009A03AE" w:rsidRPr="00AB65E2" w:rsidRDefault="009A03AE" w:rsidP="00AB65E2">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AB65E2" w:rsidTr="00CF54D3">
        <w:tc>
          <w:tcPr>
            <w:tcW w:w="10060" w:type="dxa"/>
          </w:tcPr>
          <w:p w:rsidR="00AA48FC" w:rsidRPr="00AB65E2" w:rsidRDefault="00AA48FC" w:rsidP="00AB65E2">
            <w:pPr>
              <w:rPr>
                <w:rFonts w:cstheme="minorHAnsi"/>
                <w:b/>
                <w:sz w:val="24"/>
                <w:szCs w:val="24"/>
              </w:rPr>
            </w:pPr>
            <w:r w:rsidRPr="00AB65E2">
              <w:rPr>
                <w:rFonts w:cstheme="minorHAnsi"/>
                <w:b/>
                <w:sz w:val="24"/>
                <w:szCs w:val="24"/>
              </w:rPr>
              <w:t>Fotodokumentace analýzy</w:t>
            </w:r>
          </w:p>
        </w:tc>
      </w:tr>
      <w:tr w:rsidR="00AA48FC" w:rsidRPr="00AB65E2" w:rsidTr="00CF54D3">
        <w:tc>
          <w:tcPr>
            <w:tcW w:w="10060" w:type="dxa"/>
          </w:tcPr>
          <w:p w:rsidR="00AA48FC" w:rsidRPr="00AB65E2" w:rsidRDefault="00AA48FC" w:rsidP="00AB65E2">
            <w:pPr>
              <w:rPr>
                <w:rFonts w:cstheme="minorHAnsi"/>
                <w:sz w:val="24"/>
                <w:szCs w:val="24"/>
              </w:rPr>
            </w:pPr>
          </w:p>
        </w:tc>
      </w:tr>
    </w:tbl>
    <w:p w:rsidR="0022194F" w:rsidRPr="00AB65E2" w:rsidRDefault="0022194F" w:rsidP="00AB65E2">
      <w:pPr>
        <w:spacing w:line="240" w:lineRule="auto"/>
        <w:rPr>
          <w:rFonts w:cstheme="minorHAnsi"/>
          <w:sz w:val="24"/>
          <w:szCs w:val="24"/>
        </w:rPr>
      </w:pPr>
    </w:p>
    <w:sectPr w:rsidR="0022194F" w:rsidRPr="00AB65E2"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FC" w:rsidRDefault="00543BFC" w:rsidP="00AA48FC">
      <w:pPr>
        <w:spacing w:after="0" w:line="240" w:lineRule="auto"/>
      </w:pPr>
      <w:r>
        <w:separator/>
      </w:r>
    </w:p>
  </w:endnote>
  <w:endnote w:type="continuationSeparator" w:id="0">
    <w:p w:rsidR="00543BFC" w:rsidRDefault="00543BFC"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FC" w:rsidRDefault="00543BFC" w:rsidP="00AA48FC">
      <w:pPr>
        <w:spacing w:after="0" w:line="240" w:lineRule="auto"/>
      </w:pPr>
      <w:r>
        <w:separator/>
      </w:r>
    </w:p>
  </w:footnote>
  <w:footnote w:type="continuationSeparator" w:id="0">
    <w:p w:rsidR="00543BFC" w:rsidRDefault="00543BFC"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D5C96"/>
    <w:multiLevelType w:val="hybridMultilevel"/>
    <w:tmpl w:val="449448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1E255C"/>
    <w:multiLevelType w:val="hybridMultilevel"/>
    <w:tmpl w:val="F162CB4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21097B"/>
    <w:rsid w:val="0022194F"/>
    <w:rsid w:val="002A6926"/>
    <w:rsid w:val="003A0D7C"/>
    <w:rsid w:val="003D0950"/>
    <w:rsid w:val="00416E9F"/>
    <w:rsid w:val="00543BFC"/>
    <w:rsid w:val="005A54E0"/>
    <w:rsid w:val="005C155B"/>
    <w:rsid w:val="008862E7"/>
    <w:rsid w:val="009A03AE"/>
    <w:rsid w:val="00A370DB"/>
    <w:rsid w:val="00AA48FC"/>
    <w:rsid w:val="00AB65E2"/>
    <w:rsid w:val="00B140FA"/>
    <w:rsid w:val="00BF132F"/>
    <w:rsid w:val="00C30ACE"/>
    <w:rsid w:val="00C74C8C"/>
    <w:rsid w:val="00CC1EA8"/>
    <w:rsid w:val="00CF54D3"/>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707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16E9F"/>
    <w:pPr>
      <w:keepNext/>
      <w:spacing w:after="0" w:line="240" w:lineRule="auto"/>
      <w:jc w:val="center"/>
      <w:outlineLvl w:val="0"/>
    </w:pPr>
    <w:rPr>
      <w:rFonts w:ascii="Tahoma" w:eastAsia="Times New Roman" w:hAnsi="Tahoma" w:cs="Tahoma"/>
      <w:b/>
      <w:bCs/>
      <w:sz w:val="24"/>
      <w:szCs w:val="24"/>
      <w:lang w:eastAsia="cs-CZ"/>
    </w:rPr>
  </w:style>
  <w:style w:type="paragraph" w:styleId="Nadpis2">
    <w:name w:val="heading 2"/>
    <w:basedOn w:val="Normln"/>
    <w:next w:val="Normln"/>
    <w:link w:val="Nadpis2Char"/>
    <w:uiPriority w:val="9"/>
    <w:semiHidden/>
    <w:unhideWhenUsed/>
    <w:qFormat/>
    <w:rsid w:val="00AB65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AB65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416E9F"/>
    <w:rPr>
      <w:rFonts w:ascii="Tahoma" w:eastAsia="Times New Roman" w:hAnsi="Tahoma" w:cs="Tahoma"/>
      <w:b/>
      <w:bCs/>
      <w:sz w:val="24"/>
      <w:szCs w:val="24"/>
      <w:lang w:eastAsia="cs-CZ"/>
    </w:rPr>
  </w:style>
  <w:style w:type="paragraph" w:styleId="Zkladntext2">
    <w:name w:val="Body Text 2"/>
    <w:basedOn w:val="Normln"/>
    <w:link w:val="Zkladntext2Char"/>
    <w:semiHidden/>
    <w:rsid w:val="00416E9F"/>
    <w:pPr>
      <w:spacing w:after="0" w:line="240" w:lineRule="auto"/>
    </w:pPr>
    <w:rPr>
      <w:rFonts w:ascii="Tahoma" w:eastAsia="Times New Roman" w:hAnsi="Tahoma" w:cs="Tahoma"/>
      <w:sz w:val="20"/>
      <w:szCs w:val="24"/>
      <w:lang w:eastAsia="cs-CZ"/>
    </w:rPr>
  </w:style>
  <w:style w:type="character" w:customStyle="1" w:styleId="Zkladntext2Char">
    <w:name w:val="Základní text 2 Char"/>
    <w:basedOn w:val="Standardnpsmoodstavce"/>
    <w:link w:val="Zkladntext2"/>
    <w:semiHidden/>
    <w:rsid w:val="00416E9F"/>
    <w:rPr>
      <w:rFonts w:ascii="Tahoma" w:eastAsia="Times New Roman" w:hAnsi="Tahoma" w:cs="Tahoma"/>
      <w:sz w:val="20"/>
      <w:szCs w:val="24"/>
      <w:lang w:eastAsia="cs-CZ"/>
    </w:rPr>
  </w:style>
  <w:style w:type="character" w:customStyle="1" w:styleId="Nadpis2Char">
    <w:name w:val="Nadpis 2 Char"/>
    <w:basedOn w:val="Standardnpsmoodstavce"/>
    <w:link w:val="Nadpis2"/>
    <w:uiPriority w:val="9"/>
    <w:semiHidden/>
    <w:rsid w:val="00AB65E2"/>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AB65E2"/>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uiPriority w:val="99"/>
    <w:semiHidden/>
    <w:unhideWhenUsed/>
    <w:rsid w:val="00AB65E2"/>
    <w:pPr>
      <w:spacing w:after="120"/>
    </w:pPr>
  </w:style>
  <w:style w:type="character" w:customStyle="1" w:styleId="ZkladntextChar">
    <w:name w:val="Základní text Char"/>
    <w:basedOn w:val="Standardnpsmoodstavce"/>
    <w:link w:val="Zkladntext"/>
    <w:uiPriority w:val="99"/>
    <w:semiHidden/>
    <w:rsid w:val="00AB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Arial CE"/>
                <a:ea typeface="Arial CE"/>
                <a:cs typeface="Arial CE"/>
              </a:defRPr>
            </a:pPr>
            <a:r>
              <a:rPr lang="cs-CZ"/>
              <a:t>Kumulativní distribuční křivka plniva
Refektář, Očistcová kaple, Litomyšl</a:t>
            </a:r>
          </a:p>
        </c:rich>
      </c:tx>
      <c:layout>
        <c:manualLayout>
          <c:xMode val="edge"/>
          <c:yMode val="edge"/>
          <c:x val="0.31428571428571428"/>
          <c:y val="1.871657754010695E-2"/>
        </c:manualLayout>
      </c:layout>
      <c:overlay val="0"/>
      <c:spPr>
        <a:noFill/>
        <a:ln w="25396">
          <a:noFill/>
        </a:ln>
      </c:spPr>
    </c:title>
    <c:autoTitleDeleted val="0"/>
    <c:plotArea>
      <c:layout>
        <c:manualLayout>
          <c:layoutTarget val="inner"/>
          <c:xMode val="edge"/>
          <c:yMode val="edge"/>
          <c:x val="0.11142857142857143"/>
          <c:y val="0.16310160427807488"/>
          <c:w val="0.65857142857142859"/>
          <c:h val="0.60160427807486627"/>
        </c:manualLayout>
      </c:layout>
      <c:lineChart>
        <c:grouping val="standard"/>
        <c:varyColors val="0"/>
        <c:ser>
          <c:idx val="1"/>
          <c:order val="0"/>
          <c:tx>
            <c:strRef>
              <c:f>List2!$C$1</c:f>
              <c:strCache>
                <c:ptCount val="1"/>
                <c:pt idx="0">
                  <c:v>x1 (hm %)</c:v>
                </c:pt>
              </c:strCache>
            </c:strRef>
          </c:tx>
          <c:spPr>
            <a:ln w="25396">
              <a:solidFill>
                <a:srgbClr val="000000"/>
              </a:solidFill>
              <a:prstDash val="solid"/>
            </a:ln>
          </c:spPr>
          <c:marker>
            <c:symbol val="none"/>
          </c:marker>
          <c:cat>
            <c:strRef>
              <c:f>List2!$A$2:$A$11</c:f>
              <c:strCache>
                <c:ptCount val="10"/>
                <c:pt idx="0">
                  <c:v>&lt; 0,063</c:v>
                </c:pt>
                <c:pt idx="1">
                  <c:v>0,063</c:v>
                </c:pt>
                <c:pt idx="2">
                  <c:v>0,125</c:v>
                </c:pt>
                <c:pt idx="3">
                  <c:v>0,25</c:v>
                </c:pt>
                <c:pt idx="4">
                  <c:v>0,5</c:v>
                </c:pt>
                <c:pt idx="5">
                  <c:v>1</c:v>
                </c:pt>
                <c:pt idx="6">
                  <c:v>2</c:v>
                </c:pt>
                <c:pt idx="7">
                  <c:v>4</c:v>
                </c:pt>
                <c:pt idx="8">
                  <c:v>8</c:v>
                </c:pt>
                <c:pt idx="9">
                  <c:v>16</c:v>
                </c:pt>
              </c:strCache>
            </c:strRef>
          </c:cat>
          <c:val>
            <c:numRef>
              <c:f>List2!$C$2:$C$11</c:f>
              <c:numCache>
                <c:formatCode>General</c:formatCode>
                <c:ptCount val="10"/>
                <c:pt idx="0">
                  <c:v>13.6</c:v>
                </c:pt>
                <c:pt idx="1">
                  <c:v>13.8</c:v>
                </c:pt>
                <c:pt idx="2">
                  <c:v>29</c:v>
                </c:pt>
                <c:pt idx="3">
                  <c:v>22.9</c:v>
                </c:pt>
                <c:pt idx="4">
                  <c:v>5.4</c:v>
                </c:pt>
                <c:pt idx="5">
                  <c:v>4.9000000000000004</c:v>
                </c:pt>
                <c:pt idx="6">
                  <c:v>4.9000000000000004</c:v>
                </c:pt>
                <c:pt idx="7">
                  <c:v>5.4</c:v>
                </c:pt>
                <c:pt idx="8">
                  <c:v>0</c:v>
                </c:pt>
                <c:pt idx="9">
                  <c:v>0</c:v>
                </c:pt>
              </c:numCache>
            </c:numRef>
          </c:val>
          <c:smooth val="1"/>
          <c:extLst>
            <c:ext xmlns:c16="http://schemas.microsoft.com/office/drawing/2014/chart" uri="{C3380CC4-5D6E-409C-BE32-E72D297353CC}">
              <c16:uniqueId val="{00000000-0099-4EF4-A94B-21322FB436E6}"/>
            </c:ext>
          </c:extLst>
        </c:ser>
        <c:ser>
          <c:idx val="2"/>
          <c:order val="1"/>
          <c:tx>
            <c:strRef>
              <c:f>List2!$D$1</c:f>
              <c:strCache>
                <c:ptCount val="1"/>
                <c:pt idx="0">
                  <c:v>x2 (hm %)</c:v>
                </c:pt>
              </c:strCache>
            </c:strRef>
          </c:tx>
          <c:spPr>
            <a:ln w="25396">
              <a:solidFill>
                <a:srgbClr val="000000"/>
              </a:solidFill>
              <a:prstDash val="solid"/>
            </a:ln>
          </c:spPr>
          <c:marker>
            <c:symbol val="none"/>
          </c:marker>
          <c:cat>
            <c:strRef>
              <c:f>List2!$A$2:$A$11</c:f>
              <c:strCache>
                <c:ptCount val="10"/>
                <c:pt idx="0">
                  <c:v>&lt; 0,063</c:v>
                </c:pt>
                <c:pt idx="1">
                  <c:v>0,063</c:v>
                </c:pt>
                <c:pt idx="2">
                  <c:v>0,125</c:v>
                </c:pt>
                <c:pt idx="3">
                  <c:v>0,25</c:v>
                </c:pt>
                <c:pt idx="4">
                  <c:v>0,5</c:v>
                </c:pt>
                <c:pt idx="5">
                  <c:v>1</c:v>
                </c:pt>
                <c:pt idx="6">
                  <c:v>2</c:v>
                </c:pt>
                <c:pt idx="7">
                  <c:v>4</c:v>
                </c:pt>
                <c:pt idx="8">
                  <c:v>8</c:v>
                </c:pt>
                <c:pt idx="9">
                  <c:v>16</c:v>
                </c:pt>
              </c:strCache>
            </c:strRef>
          </c:cat>
          <c:val>
            <c:numRef>
              <c:f>List2!$D$2:$D$11</c:f>
              <c:numCache>
                <c:formatCode>General</c:formatCode>
                <c:ptCount val="10"/>
                <c:pt idx="0">
                  <c:v>0</c:v>
                </c:pt>
                <c:pt idx="1">
                  <c:v>13.6</c:v>
                </c:pt>
                <c:pt idx="2">
                  <c:v>27.4</c:v>
                </c:pt>
                <c:pt idx="3">
                  <c:v>56.4</c:v>
                </c:pt>
                <c:pt idx="4">
                  <c:v>79.3</c:v>
                </c:pt>
                <c:pt idx="5">
                  <c:v>84.7</c:v>
                </c:pt>
                <c:pt idx="6">
                  <c:v>89.600000000000009</c:v>
                </c:pt>
                <c:pt idx="7">
                  <c:v>94.500000000000014</c:v>
                </c:pt>
                <c:pt idx="8">
                  <c:v>99.90000000000002</c:v>
                </c:pt>
                <c:pt idx="9" formatCode="0">
                  <c:v>99.90000000000002</c:v>
                </c:pt>
              </c:numCache>
            </c:numRef>
          </c:val>
          <c:smooth val="1"/>
          <c:extLst>
            <c:ext xmlns:c16="http://schemas.microsoft.com/office/drawing/2014/chart" uri="{C3380CC4-5D6E-409C-BE32-E72D297353CC}">
              <c16:uniqueId val="{00000001-0099-4EF4-A94B-21322FB436E6}"/>
            </c:ext>
          </c:extLst>
        </c:ser>
        <c:ser>
          <c:idx val="0"/>
          <c:order val="2"/>
          <c:tx>
            <c:v>4. zrcadlo-propad</c:v>
          </c:tx>
          <c:spPr>
            <a:ln w="25396">
              <a:solidFill>
                <a:srgbClr val="FF0000"/>
              </a:solidFill>
              <a:prstDash val="solid"/>
            </a:ln>
          </c:spPr>
          <c:marker>
            <c:symbol val="none"/>
          </c:marker>
          <c:val>
            <c:numRef>
              <c:f>List2!$F$2:$F$11</c:f>
              <c:numCache>
                <c:formatCode>#,#00</c:formatCode>
                <c:ptCount val="10"/>
                <c:pt idx="0">
                  <c:v>14.733542319749217</c:v>
                </c:pt>
                <c:pt idx="1">
                  <c:v>11.755485893416928</c:v>
                </c:pt>
                <c:pt idx="2">
                  <c:v>21.473354231974923</c:v>
                </c:pt>
                <c:pt idx="3">
                  <c:v>19.122257053291538</c:v>
                </c:pt>
                <c:pt idx="4">
                  <c:v>11.755485893416928</c:v>
                </c:pt>
                <c:pt idx="5">
                  <c:v>7.523510971786834</c:v>
                </c:pt>
                <c:pt idx="6">
                  <c:v>9.0909090909090899</c:v>
                </c:pt>
                <c:pt idx="7">
                  <c:v>4.545454545454545</c:v>
                </c:pt>
                <c:pt idx="8">
                  <c:v>0</c:v>
                </c:pt>
                <c:pt idx="9">
                  <c:v>0</c:v>
                </c:pt>
              </c:numCache>
            </c:numRef>
          </c:val>
          <c:smooth val="1"/>
          <c:extLst>
            <c:ext xmlns:c16="http://schemas.microsoft.com/office/drawing/2014/chart" uri="{C3380CC4-5D6E-409C-BE32-E72D297353CC}">
              <c16:uniqueId val="{00000002-0099-4EF4-A94B-21322FB436E6}"/>
            </c:ext>
          </c:extLst>
        </c:ser>
        <c:ser>
          <c:idx val="3"/>
          <c:order val="3"/>
          <c:tx>
            <c:v>4.zrcadlo-zachyt</c:v>
          </c:tx>
          <c:spPr>
            <a:ln w="25396">
              <a:solidFill>
                <a:srgbClr val="FF0000"/>
              </a:solidFill>
              <a:prstDash val="solid"/>
            </a:ln>
          </c:spPr>
          <c:marker>
            <c:symbol val="none"/>
          </c:marker>
          <c:val>
            <c:numRef>
              <c:f>List2!$G$2:$G$11</c:f>
              <c:numCache>
                <c:formatCode>#,#00</c:formatCode>
                <c:ptCount val="10"/>
                <c:pt idx="0" formatCode="General">
                  <c:v>0</c:v>
                </c:pt>
                <c:pt idx="1">
                  <c:v>14.733542319749217</c:v>
                </c:pt>
                <c:pt idx="2">
                  <c:v>26.489028213166144</c:v>
                </c:pt>
                <c:pt idx="3">
                  <c:v>47.962382445141067</c:v>
                </c:pt>
                <c:pt idx="4">
                  <c:v>67.084639498432608</c:v>
                </c:pt>
                <c:pt idx="5">
                  <c:v>78.84012539184954</c:v>
                </c:pt>
                <c:pt idx="6">
                  <c:v>86.363636363636374</c:v>
                </c:pt>
                <c:pt idx="7">
                  <c:v>95.454545454545467</c:v>
                </c:pt>
                <c:pt idx="8">
                  <c:v>100.00000000000001</c:v>
                </c:pt>
                <c:pt idx="9">
                  <c:v>100.00000000000001</c:v>
                </c:pt>
              </c:numCache>
            </c:numRef>
          </c:val>
          <c:smooth val="1"/>
          <c:extLst>
            <c:ext xmlns:c16="http://schemas.microsoft.com/office/drawing/2014/chart" uri="{C3380CC4-5D6E-409C-BE32-E72D297353CC}">
              <c16:uniqueId val="{00000003-0099-4EF4-A94B-21322FB436E6}"/>
            </c:ext>
          </c:extLst>
        </c:ser>
        <c:ser>
          <c:idx val="4"/>
          <c:order val="4"/>
          <c:tx>
            <c:v>OK-propad</c:v>
          </c:tx>
          <c:spPr>
            <a:ln w="25396">
              <a:solidFill>
                <a:srgbClr val="339933"/>
              </a:solidFill>
              <a:prstDash val="solid"/>
            </a:ln>
          </c:spPr>
          <c:marker>
            <c:symbol val="none"/>
          </c:marker>
          <c:val>
            <c:numRef>
              <c:f>List2!$I$2:$I$11</c:f>
              <c:numCache>
                <c:formatCode>#,#00</c:formatCode>
                <c:ptCount val="10"/>
                <c:pt idx="0">
                  <c:v>7.2195121951219523</c:v>
                </c:pt>
                <c:pt idx="1">
                  <c:v>10.26829268292683</c:v>
                </c:pt>
                <c:pt idx="2">
                  <c:v>31.756097560975615</c:v>
                </c:pt>
                <c:pt idx="3">
                  <c:v>30.878048780487809</c:v>
                </c:pt>
                <c:pt idx="4">
                  <c:v>13.536585365853661</c:v>
                </c:pt>
                <c:pt idx="5">
                  <c:v>4.5853658536585371</c:v>
                </c:pt>
                <c:pt idx="6">
                  <c:v>1.75609756097561</c:v>
                </c:pt>
                <c:pt idx="7">
                  <c:v>0</c:v>
                </c:pt>
                <c:pt idx="8">
                  <c:v>0</c:v>
                </c:pt>
                <c:pt idx="9">
                  <c:v>0</c:v>
                </c:pt>
              </c:numCache>
            </c:numRef>
          </c:val>
          <c:smooth val="1"/>
          <c:extLst>
            <c:ext xmlns:c16="http://schemas.microsoft.com/office/drawing/2014/chart" uri="{C3380CC4-5D6E-409C-BE32-E72D297353CC}">
              <c16:uniqueId val="{00000004-0099-4EF4-A94B-21322FB436E6}"/>
            </c:ext>
          </c:extLst>
        </c:ser>
        <c:ser>
          <c:idx val="5"/>
          <c:order val="5"/>
          <c:tx>
            <c:v>OK-zachyt</c:v>
          </c:tx>
          <c:spPr>
            <a:ln w="25396">
              <a:solidFill>
                <a:srgbClr val="339933"/>
              </a:solidFill>
              <a:prstDash val="solid"/>
            </a:ln>
          </c:spPr>
          <c:marker>
            <c:symbol val="none"/>
          </c:marker>
          <c:val>
            <c:numRef>
              <c:f>List2!$J$2:$J$11</c:f>
              <c:numCache>
                <c:formatCode>#,#00</c:formatCode>
                <c:ptCount val="10"/>
                <c:pt idx="0" formatCode="General">
                  <c:v>0</c:v>
                </c:pt>
                <c:pt idx="1">
                  <c:v>7.2195121951219523</c:v>
                </c:pt>
                <c:pt idx="2">
                  <c:v>17.487804878048784</c:v>
                </c:pt>
                <c:pt idx="3">
                  <c:v>49.243902439024396</c:v>
                </c:pt>
                <c:pt idx="4">
                  <c:v>80.121951219512198</c:v>
                </c:pt>
                <c:pt idx="5">
                  <c:v>93.658536585365852</c:v>
                </c:pt>
                <c:pt idx="6">
                  <c:v>98.243902439024396</c:v>
                </c:pt>
                <c:pt idx="7">
                  <c:v>100</c:v>
                </c:pt>
                <c:pt idx="8">
                  <c:v>100</c:v>
                </c:pt>
                <c:pt idx="9">
                  <c:v>100</c:v>
                </c:pt>
              </c:numCache>
            </c:numRef>
          </c:val>
          <c:smooth val="1"/>
          <c:extLst>
            <c:ext xmlns:c16="http://schemas.microsoft.com/office/drawing/2014/chart" uri="{C3380CC4-5D6E-409C-BE32-E72D297353CC}">
              <c16:uniqueId val="{00000005-0099-4EF4-A94B-21322FB436E6}"/>
            </c:ext>
          </c:extLst>
        </c:ser>
        <c:ser>
          <c:idx val="6"/>
          <c:order val="6"/>
          <c:tx>
            <c:v>R3-zachyt</c:v>
          </c:tx>
          <c:spPr>
            <a:ln w="25396">
              <a:solidFill>
                <a:srgbClr val="0000FF"/>
              </a:solidFill>
              <a:prstDash val="solid"/>
            </a:ln>
          </c:spPr>
          <c:marker>
            <c:symbol val="none"/>
          </c:marker>
          <c:val>
            <c:numRef>
              <c:f>List2!$L$2:$L$11</c:f>
              <c:numCache>
                <c:formatCode>#,#00</c:formatCode>
                <c:ptCount val="10"/>
                <c:pt idx="0">
                  <c:v>6.2305295950155761</c:v>
                </c:pt>
                <c:pt idx="1">
                  <c:v>14.797507788161994</c:v>
                </c:pt>
                <c:pt idx="2">
                  <c:v>33.48909657320872</c:v>
                </c:pt>
                <c:pt idx="3">
                  <c:v>29.127725856697818</c:v>
                </c:pt>
                <c:pt idx="4">
                  <c:v>7.7881619937694708</c:v>
                </c:pt>
                <c:pt idx="5">
                  <c:v>4.6728971962616823</c:v>
                </c:pt>
                <c:pt idx="6">
                  <c:v>2.3364485981308412</c:v>
                </c:pt>
                <c:pt idx="7">
                  <c:v>1.557632398753894</c:v>
                </c:pt>
                <c:pt idx="8">
                  <c:v>0</c:v>
                </c:pt>
                <c:pt idx="9">
                  <c:v>0</c:v>
                </c:pt>
              </c:numCache>
            </c:numRef>
          </c:val>
          <c:smooth val="1"/>
          <c:extLst>
            <c:ext xmlns:c16="http://schemas.microsoft.com/office/drawing/2014/chart" uri="{C3380CC4-5D6E-409C-BE32-E72D297353CC}">
              <c16:uniqueId val="{00000006-0099-4EF4-A94B-21322FB436E6}"/>
            </c:ext>
          </c:extLst>
        </c:ser>
        <c:ser>
          <c:idx val="7"/>
          <c:order val="7"/>
          <c:tx>
            <c:v>R3-propad</c:v>
          </c:tx>
          <c:spPr>
            <a:ln w="25396">
              <a:solidFill>
                <a:srgbClr val="0000FF"/>
              </a:solidFill>
              <a:prstDash val="solid"/>
            </a:ln>
          </c:spPr>
          <c:marker>
            <c:symbol val="none"/>
          </c:marker>
          <c:val>
            <c:numRef>
              <c:f>List2!$M$2:$M$11</c:f>
              <c:numCache>
                <c:formatCode>#,#00</c:formatCode>
                <c:ptCount val="10"/>
                <c:pt idx="0" formatCode="General">
                  <c:v>0</c:v>
                </c:pt>
                <c:pt idx="1">
                  <c:v>6.2305295950155761</c:v>
                </c:pt>
                <c:pt idx="2">
                  <c:v>21.028037383177569</c:v>
                </c:pt>
                <c:pt idx="3">
                  <c:v>54.517133956386289</c:v>
                </c:pt>
                <c:pt idx="4">
                  <c:v>83.644859813084111</c:v>
                </c:pt>
                <c:pt idx="5">
                  <c:v>91.433021806853588</c:v>
                </c:pt>
                <c:pt idx="6">
                  <c:v>96.105919003115275</c:v>
                </c:pt>
                <c:pt idx="7">
                  <c:v>98.442367601246119</c:v>
                </c:pt>
                <c:pt idx="8">
                  <c:v>100.00000000000001</c:v>
                </c:pt>
                <c:pt idx="9">
                  <c:v>100.00000000000001</c:v>
                </c:pt>
              </c:numCache>
            </c:numRef>
          </c:val>
          <c:smooth val="1"/>
          <c:extLst>
            <c:ext xmlns:c16="http://schemas.microsoft.com/office/drawing/2014/chart" uri="{C3380CC4-5D6E-409C-BE32-E72D297353CC}">
              <c16:uniqueId val="{00000007-0099-4EF4-A94B-21322FB436E6}"/>
            </c:ext>
          </c:extLst>
        </c:ser>
        <c:dLbls>
          <c:showLegendKey val="0"/>
          <c:showVal val="0"/>
          <c:showCatName val="0"/>
          <c:showSerName val="0"/>
          <c:showPercent val="0"/>
          <c:showBubbleSize val="0"/>
        </c:dLbls>
        <c:smooth val="0"/>
        <c:axId val="189862232"/>
        <c:axId val="1"/>
      </c:lineChart>
      <c:catAx>
        <c:axId val="189862232"/>
        <c:scaling>
          <c:orientation val="minMax"/>
        </c:scaling>
        <c:delete val="0"/>
        <c:axPos val="b"/>
        <c:title>
          <c:tx>
            <c:rich>
              <a:bodyPr/>
              <a:lstStyle/>
              <a:p>
                <a:pPr>
                  <a:defRPr sz="1000" b="0" i="0" u="none" strike="noStrike" baseline="0">
                    <a:solidFill>
                      <a:srgbClr val="000000"/>
                    </a:solidFill>
                    <a:latin typeface="Arial CE"/>
                    <a:ea typeface="Arial CE"/>
                    <a:cs typeface="Arial CE"/>
                  </a:defRPr>
                </a:pPr>
                <a:r>
                  <a:rPr lang="cs-CZ"/>
                  <a:t>D (mm)</a:t>
                </a:r>
              </a:p>
            </c:rich>
          </c:tx>
          <c:layout>
            <c:manualLayout>
              <c:xMode val="edge"/>
              <c:yMode val="edge"/>
              <c:x val="0.6428571428571429"/>
              <c:y val="0.84759358288770048"/>
            </c:manualLayout>
          </c:layout>
          <c:overlay val="0"/>
          <c:spPr>
            <a:noFill/>
            <a:ln w="25396">
              <a:noFill/>
            </a:ln>
          </c:spPr>
        </c:title>
        <c:numFmt formatCode="General" sourceLinked="1"/>
        <c:majorTickMark val="out"/>
        <c:minorTickMark val="none"/>
        <c:tickLblPos val="nextTo"/>
        <c:spPr>
          <a:ln w="3174">
            <a:solidFill>
              <a:srgbClr val="000000"/>
            </a:solidFill>
            <a:prstDash val="solid"/>
          </a:ln>
        </c:spPr>
        <c:txPr>
          <a:bodyPr rot="-5400000" vert="horz"/>
          <a:lstStyle/>
          <a:p>
            <a:pPr>
              <a:defRPr sz="800" b="0" i="0" u="none" strike="noStrike" baseline="0">
                <a:solidFill>
                  <a:srgbClr val="000000"/>
                </a:solidFill>
                <a:latin typeface="Arial CE"/>
                <a:ea typeface="Arial CE"/>
                <a:cs typeface="Arial CE"/>
              </a:defRPr>
            </a:pPr>
            <a:endParaRPr lang="cs-CZ"/>
          </a:p>
        </c:txPr>
        <c:crossAx val="1"/>
        <c:crosses val="autoZero"/>
        <c:auto val="1"/>
        <c:lblAlgn val="ctr"/>
        <c:lblOffset val="100"/>
        <c:tickLblSkip val="1"/>
        <c:tickMarkSkip val="1"/>
        <c:noMultiLvlLbl val="0"/>
      </c:catAx>
      <c:valAx>
        <c:axId val="1"/>
        <c:scaling>
          <c:orientation val="minMax"/>
          <c:max val="100"/>
          <c:min val="0"/>
        </c:scaling>
        <c:delete val="0"/>
        <c:axPos val="l"/>
        <c:majorGridlines>
          <c:spPr>
            <a:ln w="3174">
              <a:solidFill>
                <a:srgbClr val="000000"/>
              </a:solidFill>
              <a:prstDash val="sysDash"/>
            </a:ln>
          </c:spPr>
        </c:majorGridlines>
        <c:title>
          <c:tx>
            <c:rich>
              <a:bodyPr rot="0" vert="horz"/>
              <a:lstStyle/>
              <a:p>
                <a:pPr algn="ctr">
                  <a:defRPr sz="875" b="0" i="0" u="none" strike="noStrike" baseline="0">
                    <a:solidFill>
                      <a:srgbClr val="000000"/>
                    </a:solidFill>
                    <a:latin typeface="Arial CE"/>
                    <a:ea typeface="Arial CE"/>
                    <a:cs typeface="Arial CE"/>
                  </a:defRPr>
                </a:pPr>
                <a:r>
                  <a:rPr lang="cs-CZ"/>
                  <a:t>x (%hm.)</a:t>
                </a:r>
              </a:p>
            </c:rich>
          </c:tx>
          <c:layout>
            <c:manualLayout>
              <c:xMode val="edge"/>
              <c:yMode val="edge"/>
              <c:x val="1.1428571428571429E-2"/>
              <c:y val="0.22994652406417113"/>
            </c:manualLayout>
          </c:layout>
          <c:overlay val="0"/>
          <c:spPr>
            <a:noFill/>
            <a:ln w="25396">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CE"/>
                <a:ea typeface="Arial CE"/>
                <a:cs typeface="Arial CE"/>
              </a:defRPr>
            </a:pPr>
            <a:endParaRPr lang="cs-CZ"/>
          </a:p>
        </c:txPr>
        <c:crossAx val="189862232"/>
        <c:crosses val="autoZero"/>
        <c:crossBetween val="between"/>
      </c:valAx>
      <c:spPr>
        <a:noFill/>
        <a:ln w="12698">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Arial CE"/>
          <a:ea typeface="Arial CE"/>
          <a:cs typeface="Arial CE"/>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812</Words>
  <Characters>4797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2021-09-08T12:49:00Z</dcterms:created>
  <dcterms:modified xsi:type="dcterms:W3CDTF">2021-09-08T12:55:00Z</dcterms:modified>
</cp:coreProperties>
</file>