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4"/>
        <w:gridCol w:w="5526"/>
      </w:tblGrid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3</w:t>
            </w:r>
            <w:r w:rsidR="00E8700D" w:rsidRPr="00E8700D">
              <w:rPr>
                <w:rFonts w:cstheme="minorHAnsi"/>
                <w:sz w:val="24"/>
                <w:szCs w:val="24"/>
              </w:rPr>
              <w:t>300 A, B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3</w:t>
            </w:r>
            <w:r w:rsidR="00E8700D" w:rsidRPr="00E8700D">
              <w:rPr>
                <w:rFonts w:cstheme="minorHAnsi"/>
                <w:sz w:val="24"/>
                <w:szCs w:val="24"/>
              </w:rPr>
              <w:t>300 A, B</w:t>
            </w:r>
          </w:p>
        </w:tc>
      </w:tr>
      <w:tr w:rsidR="00B50624" w:rsidRPr="00E8700D" w:rsidTr="00CF54D3">
        <w:tc>
          <w:tcPr>
            <w:tcW w:w="4606" w:type="dxa"/>
          </w:tcPr>
          <w:p w:rsidR="00AA48FC" w:rsidRPr="00E8700D" w:rsidRDefault="00AA48FC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8700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bCs/>
                <w:sz w:val="24"/>
                <w:szCs w:val="24"/>
              </w:rPr>
              <w:t>Piaristická kolej, nástropní zrcadlo, refektář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B07D42" w:rsidRPr="00E8700D" w:rsidRDefault="00B07D42" w:rsidP="00E8700D">
            <w:pPr>
              <w:pStyle w:val="Zkladntext"/>
              <w:rPr>
                <w:rFonts w:asciiTheme="minorHAnsi" w:hAnsiTheme="minorHAnsi" w:cstheme="minorHAnsi"/>
              </w:rPr>
            </w:pPr>
            <w:r w:rsidRPr="00E8700D">
              <w:rPr>
                <w:rFonts w:asciiTheme="minorHAnsi" w:hAnsiTheme="minorHAnsi" w:cstheme="minorHAnsi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1754"/>
              <w:gridCol w:w="1887"/>
            </w:tblGrid>
            <w:tr w:rsidR="00B50624" w:rsidRPr="00E8700D" w:rsidTr="003357AC">
              <w:tc>
                <w:tcPr>
                  <w:tcW w:w="3070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B50624" w:rsidRPr="00E8700D" w:rsidTr="003357AC">
              <w:tc>
                <w:tcPr>
                  <w:tcW w:w="3070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3298 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černá destička chlapce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uprostřed, v místě šedé linky</w:t>
                  </w:r>
                </w:p>
              </w:tc>
            </w:tr>
            <w:tr w:rsidR="00B50624" w:rsidRPr="00E8700D" w:rsidTr="003357AC">
              <w:tc>
                <w:tcPr>
                  <w:tcW w:w="3070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 xml:space="preserve">levá paže chlapce </w:t>
                  </w:r>
                </w:p>
              </w:tc>
            </w:tr>
            <w:tr w:rsidR="00B50624" w:rsidRPr="00E8700D" w:rsidTr="003357AC">
              <w:tc>
                <w:tcPr>
                  <w:tcW w:w="3070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3212 (S1)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levé rameno chlapce</w:t>
                  </w:r>
                </w:p>
              </w:tc>
            </w:tr>
            <w:tr w:rsidR="00B50624" w:rsidRPr="00E8700D" w:rsidTr="003357AC">
              <w:tc>
                <w:tcPr>
                  <w:tcW w:w="3070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3213 (S2)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</w:tcPr>
                <w:p w:rsidR="00B07D42" w:rsidRPr="00E8700D" w:rsidRDefault="00B07D42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vedle destičky chlapce</w:t>
                  </w:r>
                </w:p>
              </w:tc>
            </w:tr>
          </w:tbl>
          <w:p w:rsidR="0022194F" w:rsidRPr="00E8700D" w:rsidRDefault="0022194F" w:rsidP="00E870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E8700D" w:rsidRDefault="001E111D" w:rsidP="00E8700D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3324225" cy="2114550"/>
                  <wp:effectExtent l="19050" t="19050" r="28575" b="19050"/>
                  <wp:docPr id="1" name="Obrázek 1" descr="zrcadlo5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rcadlo5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14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8700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1. třetina 18. století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Bayer Karol</w:t>
            </w:r>
          </w:p>
        </w:tc>
      </w:tr>
      <w:tr w:rsidR="00B50624" w:rsidRPr="00E8700D" w:rsidTr="00CF54D3">
        <w:tc>
          <w:tcPr>
            <w:tcW w:w="4606" w:type="dxa"/>
          </w:tcPr>
          <w:p w:rsidR="0022194F" w:rsidRPr="00E8700D" w:rsidRDefault="0022194F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8700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E8700D" w:rsidTr="00CF54D3">
        <w:tc>
          <w:tcPr>
            <w:tcW w:w="4606" w:type="dxa"/>
          </w:tcPr>
          <w:p w:rsidR="005A54E0" w:rsidRPr="00E8700D" w:rsidRDefault="005A54E0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8700D">
              <w:rPr>
                <w:rFonts w:cstheme="minorHAnsi"/>
                <w:b/>
                <w:sz w:val="24"/>
                <w:szCs w:val="24"/>
              </w:rPr>
              <w:t>databázi</w:t>
            </w:r>
            <w:r w:rsidRPr="00E8700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8700D" w:rsidRDefault="00B07D42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2005_1</w:t>
            </w:r>
          </w:p>
        </w:tc>
      </w:tr>
    </w:tbl>
    <w:p w:rsidR="00AA48FC" w:rsidRPr="00E8700D" w:rsidRDefault="00AA48FC" w:rsidP="00E8700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E8700D" w:rsidTr="00CF54D3">
        <w:tc>
          <w:tcPr>
            <w:tcW w:w="10060" w:type="dxa"/>
          </w:tcPr>
          <w:p w:rsidR="00AA48FC" w:rsidRPr="00E8700D" w:rsidRDefault="00AA48FC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E8700D" w:rsidTr="00CF54D3">
        <w:tc>
          <w:tcPr>
            <w:tcW w:w="10060" w:type="dxa"/>
          </w:tcPr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b/>
                <w:bCs/>
                <w:sz w:val="24"/>
                <w:szCs w:val="24"/>
              </w:rPr>
              <w:t>vzorek 3300A:</w:t>
            </w:r>
            <w:r w:rsidRPr="00E8700D">
              <w:rPr>
                <w:rFonts w:cstheme="minorHAnsi"/>
                <w:sz w:val="24"/>
                <w:szCs w:val="24"/>
              </w:rPr>
              <w:t xml:space="preserve"> inkarnát, levá paže chlapce, spodní část vzorku</w:t>
            </w: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8700D" w:rsidRPr="00E8700D" w:rsidTr="003357AC">
              <w:tc>
                <w:tcPr>
                  <w:tcW w:w="4606" w:type="dxa"/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5" name="Obrázek 5" descr="3300A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300A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</w:p>
              </w:tc>
              <w:bookmarkStart w:id="1" w:name="_MON_1178437909"/>
              <w:bookmarkStart w:id="2" w:name="_MON_1178437937"/>
              <w:bookmarkEnd w:id="1"/>
              <w:bookmarkEnd w:id="2"/>
              <w:bookmarkStart w:id="3" w:name="_MON_1178437894"/>
              <w:bookmarkEnd w:id="3"/>
              <w:tc>
                <w:tcPr>
                  <w:tcW w:w="4606" w:type="dxa"/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object w:dxaOrig="4021" w:dyaOrig="3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1pt;height:150.75pt" o:ole="">
                        <v:imagedata r:id="rId9" o:title="" gain="79922f" blacklevel="3932f"/>
                      </v:shape>
                      <o:OLEObject Type="Embed" ProgID="Word.Picture.8" ShapeID="_x0000_i1025" DrawAspect="Content" ObjectID="_1692520810" r:id="rId10"/>
                    </w:object>
                  </w:r>
                </w:p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8700D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šedo-červená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obsahuje uhličitan vápenatý, příměs červeného okru, malá příměs olovnatého pigmentu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E8700D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E8700D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Si, Al (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), zrna: </w:t>
                  </w:r>
                  <w:r w:rsidRPr="00E8700D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(Si, Al, 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4"/>
                      <w:u w:val="none"/>
                    </w:rPr>
                    <w:t>Fe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4"/>
                      <w:u w:val="none"/>
                    </w:rPr>
                    <w:t>Pb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)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uhličitan vápenatý s  příměsí červeného okru a révové černi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8700D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proofErr w:type="spellStart"/>
                  <w:r w:rsidRPr="00E8700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8700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růžová</w:t>
                  </w:r>
                </w:p>
              </w:tc>
              <w:tc>
                <w:tcPr>
                  <w:tcW w:w="2303" w:type="dxa"/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uhličitan vápenatý, příměs červeného okru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8700D">
                    <w:rPr>
                      <w:rFonts w:cstheme="minorHAnsi"/>
                      <w:sz w:val="24"/>
                      <w:szCs w:val="24"/>
                    </w:rPr>
                    <w:t>, Si, Al (</w:t>
                  </w:r>
                  <w:proofErr w:type="spellStart"/>
                  <w:r w:rsidRPr="00E8700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8700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b/>
                <w:bCs/>
                <w:sz w:val="24"/>
                <w:szCs w:val="24"/>
              </w:rPr>
              <w:t>vzorek 3300B:</w:t>
            </w:r>
            <w:r w:rsidRPr="00E8700D">
              <w:rPr>
                <w:rFonts w:cstheme="minorHAnsi"/>
                <w:sz w:val="24"/>
                <w:szCs w:val="24"/>
              </w:rPr>
              <w:t xml:space="preserve"> inkarnát, levá paže chlapce, povrch vzorku</w:t>
            </w: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8700D" w:rsidRPr="00E8700D" w:rsidTr="003357AC">
              <w:tc>
                <w:tcPr>
                  <w:tcW w:w="4606" w:type="dxa"/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4" name="Obrázek 4" descr="3300B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300B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62225" cy="1924050"/>
                        <wp:effectExtent l="0" t="0" r="9525" b="0"/>
                        <wp:docPr id="3" name="Obrázek 3" descr="3300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300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lum bright="6000" contrast="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lastRenderedPageBreak/>
                    <w:t>REM-BEI</w:t>
                  </w:r>
                </w:p>
              </w:tc>
            </w:tr>
          </w:tbl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8700D" w:rsidRPr="00E8700D" w:rsidRDefault="00E8700D" w:rsidP="00E8700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8700D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 a složení vrstev:</w:t>
            </w:r>
          </w:p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šedo-růžová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 xml:space="preserve">obsahuje uhličitan vápenatý, příměs červeného okru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E8700D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, Si, Al (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4"/>
                      <w:u w:val="none"/>
                    </w:rPr>
                    <w:t>K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) </w:t>
                  </w:r>
                </w:p>
                <w:p w:rsidR="00E8700D" w:rsidRPr="00E8700D" w:rsidRDefault="00E8700D" w:rsidP="00E8700D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uhličitan vápenatý, olovnatou bělobu, malou příměs červeného okru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E8700D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E8700D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Si, Al, 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 (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)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červená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 xml:space="preserve">uhličitan vápenatý, olovnatý pigment, malá příměs červeného okru, vrstva je částečně </w:t>
                  </w:r>
                  <w:proofErr w:type="spellStart"/>
                  <w:r w:rsidRPr="00E8700D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E8700D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E8700D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Si, Al, 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, S (</w:t>
                  </w:r>
                  <w:proofErr w:type="spellStart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E8700D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)</w:t>
                  </w:r>
                </w:p>
              </w:tc>
            </w:tr>
            <w:tr w:rsidR="00E8700D" w:rsidRPr="00E8700D" w:rsidTr="003357AC"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sv. růžová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uhličitan vápenatý s malou příměsí červeného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E8700D" w:rsidRPr="00E8700D" w:rsidRDefault="00E8700D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E8700D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proofErr w:type="spellStart"/>
                  <w:r w:rsidRPr="00E8700D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E8700D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8700D" w:rsidRPr="00E8700D" w:rsidRDefault="00E8700D" w:rsidP="00E8700D">
            <w:pPr>
              <w:rPr>
                <w:rFonts w:cstheme="minorHAnsi"/>
                <w:sz w:val="24"/>
                <w:szCs w:val="24"/>
              </w:rPr>
            </w:pPr>
          </w:p>
          <w:p w:rsidR="00AA48FC" w:rsidRPr="00E8700D" w:rsidRDefault="00AA48FC" w:rsidP="00E8700D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0624" w:rsidRPr="00E8700D" w:rsidRDefault="00B50624" w:rsidP="00E8700D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E8700D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Souhrn: </w:t>
            </w:r>
          </w:p>
          <w:p w:rsidR="00B50624" w:rsidRPr="00E8700D" w:rsidRDefault="00B50624" w:rsidP="00E8700D">
            <w:pPr>
              <w:pStyle w:val="Zkladntext"/>
              <w:rPr>
                <w:rFonts w:asciiTheme="minorHAnsi" w:hAnsiTheme="minorHAnsi" w:cstheme="minorHAnsi"/>
              </w:rPr>
            </w:pPr>
            <w:r w:rsidRPr="00E8700D">
              <w:rPr>
                <w:rFonts w:asciiTheme="minorHAnsi" w:hAnsiTheme="minorHAnsi" w:cstheme="minorHAnsi"/>
              </w:rPr>
              <w:t>Z 5. nástropního zrcadla byly odebrány tři vzorky s cílem provést chemicko-technologický průzkum barevných vrstev.  U vzorků barevných vrstev bylo určeno složení, druhy použitých pigmentů, pojivo barevné vrstvy. U vzorků byly diskutovány přemalby. Z průzkumu bylo zjištěno:</w:t>
            </w:r>
          </w:p>
          <w:p w:rsidR="00B50624" w:rsidRPr="00E8700D" w:rsidRDefault="00B50624" w:rsidP="00E8700D">
            <w:pPr>
              <w:rPr>
                <w:rFonts w:cstheme="minorHAnsi"/>
                <w:sz w:val="24"/>
                <w:szCs w:val="24"/>
              </w:rPr>
            </w:pPr>
          </w:p>
          <w:p w:rsidR="00B50624" w:rsidRPr="00E8700D" w:rsidRDefault="00B50624" w:rsidP="00E8700D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8700D">
              <w:rPr>
                <w:rFonts w:asciiTheme="minorHAnsi" w:hAnsiTheme="minorHAnsi" w:cstheme="minorHAnsi"/>
                <w:b/>
                <w:color w:val="auto"/>
                <w:u w:val="single"/>
              </w:rPr>
              <w:t>Omítka, podklad pod malbu</w:t>
            </w: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 xml:space="preserve">Podkladem pod barevnou vrstvu je vápenné </w:t>
            </w:r>
            <w:proofErr w:type="spellStart"/>
            <w:r w:rsidRPr="00E8700D">
              <w:rPr>
                <w:rFonts w:cstheme="minorHAnsi"/>
                <w:sz w:val="24"/>
                <w:szCs w:val="24"/>
              </w:rPr>
              <w:t>intonako</w:t>
            </w:r>
            <w:proofErr w:type="spellEnd"/>
            <w:r w:rsidRPr="00E8700D">
              <w:rPr>
                <w:rFonts w:cstheme="minorHAnsi"/>
                <w:sz w:val="24"/>
                <w:szCs w:val="24"/>
              </w:rPr>
              <w:t xml:space="preserve">. Barevné vrstvy byly na podklad naneseny po vyzrání, popř. zavadnutí (patrné rozhraní vytvořené </w:t>
            </w:r>
            <w:proofErr w:type="spellStart"/>
            <w:r w:rsidRPr="00E8700D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E8700D">
              <w:rPr>
                <w:rFonts w:cstheme="minorHAnsi"/>
                <w:sz w:val="24"/>
                <w:szCs w:val="24"/>
              </w:rPr>
              <w:t xml:space="preserve"> povrchu omítky). Podkladem pod inkarnáty je sv. růžová barevná vrstva obsahující uhličitan vápenatý a červený okr. </w:t>
            </w: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>Pojivem růžového podkladu je uhličitan vápenatý, modifikovaný přídavkem proteinů.</w:t>
            </w:r>
          </w:p>
          <w:p w:rsidR="00B50624" w:rsidRPr="00E8700D" w:rsidRDefault="00B50624" w:rsidP="00E8700D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B50624" w:rsidRPr="00E8700D" w:rsidRDefault="00B50624" w:rsidP="00E8700D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8700D">
              <w:rPr>
                <w:rFonts w:asciiTheme="minorHAnsi" w:hAnsiTheme="minorHAnsi" w:cstheme="minorHAnsi"/>
                <w:b/>
                <w:color w:val="auto"/>
                <w:u w:val="single"/>
              </w:rPr>
              <w:t>Původní barevné vrstvy</w:t>
            </w: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 xml:space="preserve">Nejstarší dochovaná malba je dokončena technikou vápenného </w:t>
            </w:r>
            <w:proofErr w:type="spellStart"/>
            <w:r w:rsidRPr="00E8700D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E8700D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E8700D">
              <w:rPr>
                <w:rFonts w:cstheme="minorHAnsi"/>
                <w:i/>
                <w:iCs/>
                <w:sz w:val="24"/>
                <w:szCs w:val="24"/>
              </w:rPr>
              <w:t>Kalkmalerei</w:t>
            </w:r>
            <w:proofErr w:type="spellEnd"/>
            <w:r w:rsidRPr="00E8700D">
              <w:rPr>
                <w:rFonts w:cstheme="minorHAnsi"/>
                <w:sz w:val="24"/>
                <w:szCs w:val="24"/>
              </w:rPr>
              <w:t xml:space="preserve">) barvami, jejichž pojivem je uhličitan vápenatý s příměsí organického aditiva, proteinů. V původních barevných vrstvách byly identifikovány pigmenty, které odpovídají časovému zařazení nástěnných maleb, tj. 1. třetině 18. století. Mezi identifikovanými pigmenty byly v původních malbách nalezeny tyto pigmenty: </w:t>
            </w: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B50624" w:rsidRPr="00E8700D" w:rsidTr="003357AC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B50624" w:rsidRPr="00E8700D" w:rsidTr="003357AC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B50624" w:rsidRPr="00E8700D" w:rsidRDefault="00B50624" w:rsidP="00E8700D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  <w:p w:rsidR="00B50624" w:rsidRPr="00E8700D" w:rsidRDefault="00B50624" w:rsidP="00E8700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3300A, B, 3212</w:t>
                  </w: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E8700D" w:rsidTr="003357AC"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B50624" w:rsidRPr="00E8700D" w:rsidRDefault="00B50624" w:rsidP="00E8700D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všechny</w:t>
                  </w: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3300B, 3212</w:t>
                  </w:r>
                </w:p>
              </w:tc>
            </w:tr>
            <w:tr w:rsidR="00B50624" w:rsidRPr="00E8700D" w:rsidTr="003357AC"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smalt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E8700D" w:rsidTr="003357AC"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C-čerň</w:t>
                  </w: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destička chlapce</w:t>
                  </w:r>
                </w:p>
                <w:p w:rsidR="00B50624" w:rsidRPr="00E8700D" w:rsidRDefault="00B50624" w:rsidP="00E8700D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3298</w:t>
                  </w: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50624" w:rsidRPr="00E8700D" w:rsidRDefault="00B50624" w:rsidP="00E8700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8700D">
                    <w:rPr>
                      <w:rFonts w:cstheme="minorHAnsi"/>
                      <w:sz w:val="24"/>
                      <w:szCs w:val="24"/>
                    </w:rPr>
                    <w:t>3300A</w:t>
                  </w:r>
                </w:p>
              </w:tc>
            </w:tr>
          </w:tbl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 xml:space="preserve">Originální barevná vrstva je nanesena pravděpodobně ve dvou vrstvách. První tvoří více pastózní nános barvy s vyšším obsahem vápna; druhá, tenká vrstva na povrchu je vrstva spíše </w:t>
            </w:r>
            <w:proofErr w:type="spellStart"/>
            <w:r w:rsidRPr="00E8700D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E8700D">
              <w:rPr>
                <w:rFonts w:cstheme="minorHAnsi"/>
                <w:sz w:val="24"/>
                <w:szCs w:val="24"/>
              </w:rPr>
              <w:t xml:space="preserve"> charakteru s vyšším obsahem organických pojiv. Ve vrstvě byla prokázána přítomnost olovnaté běloby. </w:t>
            </w:r>
          </w:p>
          <w:p w:rsidR="00B50624" w:rsidRPr="00E8700D" w:rsidRDefault="00B50624" w:rsidP="00E8700D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E8700D" w:rsidRDefault="00B50624" w:rsidP="00E8700D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E8700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B50624" w:rsidRPr="00E8700D" w:rsidRDefault="00B50624" w:rsidP="00E8700D">
            <w:pPr>
              <w:jc w:val="both"/>
              <w:rPr>
                <w:rFonts w:cstheme="minorHAnsi"/>
                <w:sz w:val="24"/>
                <w:szCs w:val="24"/>
              </w:rPr>
            </w:pPr>
            <w:r w:rsidRPr="00E8700D">
              <w:rPr>
                <w:rFonts w:cstheme="minorHAnsi"/>
                <w:sz w:val="24"/>
                <w:szCs w:val="24"/>
              </w:rPr>
              <w:t xml:space="preserve">Na povrchu originální malby byly identifikovány tenké až lazurní sv. šedé vrstvy pokrývající prakticky celou plochu zrcadla. Jedná se pravděpodobně o tenké </w:t>
            </w:r>
            <w:proofErr w:type="gramStart"/>
            <w:r w:rsidRPr="00E8700D">
              <w:rPr>
                <w:rFonts w:cstheme="minorHAnsi"/>
                <w:sz w:val="24"/>
                <w:szCs w:val="24"/>
              </w:rPr>
              <w:t>lazurní</w:t>
            </w:r>
            <w:proofErr w:type="gramEnd"/>
            <w:r w:rsidRPr="00E8700D">
              <w:rPr>
                <w:rFonts w:cstheme="minorHAnsi"/>
                <w:sz w:val="24"/>
                <w:szCs w:val="24"/>
              </w:rPr>
              <w:t xml:space="preserve"> nátěry, popř. fixáže obsahující vysoký podíl organického pojiva (proteiny) a síranu vápenatého. Nelze však vyloučit ani vznik těchto vrstev v důsledku koroze původní barevné vrstvy.  </w:t>
            </w:r>
          </w:p>
          <w:p w:rsidR="00B50624" w:rsidRPr="00E8700D" w:rsidRDefault="00B50624" w:rsidP="00E870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8700D" w:rsidRDefault="009A03AE" w:rsidP="00E8700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E8700D" w:rsidTr="00CF54D3">
        <w:tc>
          <w:tcPr>
            <w:tcW w:w="10060" w:type="dxa"/>
          </w:tcPr>
          <w:p w:rsidR="00AA48FC" w:rsidRPr="00E8700D" w:rsidRDefault="00AA48FC" w:rsidP="00E8700D">
            <w:pPr>
              <w:rPr>
                <w:rFonts w:cstheme="minorHAnsi"/>
                <w:b/>
                <w:sz w:val="24"/>
                <w:szCs w:val="24"/>
              </w:rPr>
            </w:pPr>
            <w:r w:rsidRPr="00E8700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8700D" w:rsidTr="00CF54D3">
        <w:tc>
          <w:tcPr>
            <w:tcW w:w="10060" w:type="dxa"/>
          </w:tcPr>
          <w:p w:rsidR="00AA48FC" w:rsidRPr="00E8700D" w:rsidRDefault="00AA48FC" w:rsidP="00E870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8700D" w:rsidRDefault="0022194F" w:rsidP="00E8700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E8700D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34" w:rsidRDefault="00C25634" w:rsidP="00AA48FC">
      <w:pPr>
        <w:spacing w:after="0" w:line="240" w:lineRule="auto"/>
      </w:pPr>
      <w:r>
        <w:separator/>
      </w:r>
    </w:p>
  </w:endnote>
  <w:endnote w:type="continuationSeparator" w:id="0">
    <w:p w:rsidR="00C25634" w:rsidRDefault="00C256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34" w:rsidRDefault="00C25634" w:rsidP="00AA48FC">
      <w:pPr>
        <w:spacing w:after="0" w:line="240" w:lineRule="auto"/>
      </w:pPr>
      <w:r>
        <w:separator/>
      </w:r>
    </w:p>
  </w:footnote>
  <w:footnote w:type="continuationSeparator" w:id="0">
    <w:p w:rsidR="00C25634" w:rsidRDefault="00C256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3C34"/>
    <w:rsid w:val="00095D0B"/>
    <w:rsid w:val="000A6440"/>
    <w:rsid w:val="001E111D"/>
    <w:rsid w:val="0021097B"/>
    <w:rsid w:val="0022194F"/>
    <w:rsid w:val="002A6926"/>
    <w:rsid w:val="003D0950"/>
    <w:rsid w:val="005A54E0"/>
    <w:rsid w:val="005C155B"/>
    <w:rsid w:val="006E1145"/>
    <w:rsid w:val="008862E7"/>
    <w:rsid w:val="009A03AE"/>
    <w:rsid w:val="00AA48FC"/>
    <w:rsid w:val="00B07D42"/>
    <w:rsid w:val="00B50624"/>
    <w:rsid w:val="00BF132F"/>
    <w:rsid w:val="00C25634"/>
    <w:rsid w:val="00C30ACE"/>
    <w:rsid w:val="00C74C8C"/>
    <w:rsid w:val="00CC1EA8"/>
    <w:rsid w:val="00CF54D3"/>
    <w:rsid w:val="00E70E48"/>
    <w:rsid w:val="00E8700D"/>
    <w:rsid w:val="00E8721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062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07D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7D4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50624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2021-09-07T09:47:00Z</dcterms:created>
  <dcterms:modified xsi:type="dcterms:W3CDTF">2021-09-07T09:54:00Z</dcterms:modified>
</cp:coreProperties>
</file>