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07EEF" w:rsidRDefault="0022194F" w:rsidP="00407EEF">
            <w:pPr>
              <w:rPr>
                <w:rFonts w:cstheme="minorHAnsi"/>
              </w:rPr>
            </w:pP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1</w:t>
            </w:r>
          </w:p>
        </w:tc>
      </w:tr>
      <w:tr w:rsidR="00AA48FC" w:rsidRPr="00407EEF" w:rsidTr="00CF54D3">
        <w:tc>
          <w:tcPr>
            <w:tcW w:w="4606" w:type="dxa"/>
          </w:tcPr>
          <w:p w:rsidR="00AA48FC" w:rsidRPr="00407EEF" w:rsidRDefault="00AA48FC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 xml:space="preserve">Pořadové číslo karty vzorku v </w:t>
            </w:r>
            <w:r w:rsidR="000A6440" w:rsidRPr="00407EE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425</w:t>
            </w: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Milotice</w:t>
            </w: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Zámek, jízdárna, fasáda</w:t>
            </w: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vzorek nejmladší omítkové vrstvy z vnější fasády jízdárny</w:t>
            </w: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07EEF" w:rsidRDefault="0022194F" w:rsidP="00407EEF">
            <w:pPr>
              <w:rPr>
                <w:rFonts w:cstheme="minorHAnsi"/>
              </w:rPr>
            </w:pP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fasáda</w:t>
            </w: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07EEF" w:rsidRDefault="0022194F" w:rsidP="00407EEF">
            <w:pPr>
              <w:rPr>
                <w:rFonts w:cstheme="minorHAnsi"/>
              </w:rPr>
            </w:pP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Datace</w:t>
            </w:r>
            <w:r w:rsidR="00AA48FC" w:rsidRPr="00407EE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07EEF" w:rsidRDefault="0022194F" w:rsidP="00407EEF">
            <w:pPr>
              <w:rPr>
                <w:rFonts w:cstheme="minorHAnsi"/>
              </w:rPr>
            </w:pP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Vyskočilová Renata</w:t>
            </w:r>
          </w:p>
        </w:tc>
      </w:tr>
      <w:tr w:rsidR="0022194F" w:rsidRPr="00407EEF" w:rsidTr="00CF54D3">
        <w:tc>
          <w:tcPr>
            <w:tcW w:w="4606" w:type="dxa"/>
          </w:tcPr>
          <w:p w:rsidR="0022194F" w:rsidRPr="00407EEF" w:rsidRDefault="0022194F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Datum zpracování zprávy</w:t>
            </w:r>
            <w:r w:rsidR="00AA48FC" w:rsidRPr="00407EE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22. 8. 2005</w:t>
            </w:r>
          </w:p>
        </w:tc>
      </w:tr>
      <w:tr w:rsidR="005A54E0" w:rsidRPr="00407EEF" w:rsidTr="00CF54D3">
        <w:tc>
          <w:tcPr>
            <w:tcW w:w="4606" w:type="dxa"/>
          </w:tcPr>
          <w:p w:rsidR="005A54E0" w:rsidRPr="00407EEF" w:rsidRDefault="005A54E0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Číslo příslušné zprávy v </w:t>
            </w:r>
            <w:r w:rsidR="000A6440" w:rsidRPr="00407EEF">
              <w:rPr>
                <w:rFonts w:cstheme="minorHAnsi"/>
                <w:b/>
              </w:rPr>
              <w:t>databázi</w:t>
            </w:r>
            <w:r w:rsidRPr="00407EE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07EEF" w:rsidRDefault="00407EEF" w:rsidP="00407EEF">
            <w:pPr>
              <w:rPr>
                <w:rFonts w:cstheme="minorHAnsi"/>
              </w:rPr>
            </w:pPr>
            <w:r w:rsidRPr="00407EEF">
              <w:rPr>
                <w:rFonts w:cstheme="minorHAnsi"/>
              </w:rPr>
              <w:t>2005_18</w:t>
            </w:r>
          </w:p>
        </w:tc>
      </w:tr>
    </w:tbl>
    <w:p w:rsidR="00AA48FC" w:rsidRPr="00407EEF" w:rsidRDefault="00AA48FC" w:rsidP="00407EE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07EEF" w:rsidTr="00CF54D3">
        <w:tc>
          <w:tcPr>
            <w:tcW w:w="10060" w:type="dxa"/>
          </w:tcPr>
          <w:p w:rsidR="00AA48FC" w:rsidRPr="00407EEF" w:rsidRDefault="00AA48FC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Výsledky analýzy</w:t>
            </w:r>
          </w:p>
        </w:tc>
      </w:tr>
      <w:tr w:rsidR="00AA48FC" w:rsidRPr="00407EEF" w:rsidTr="00CF54D3">
        <w:tc>
          <w:tcPr>
            <w:tcW w:w="10060" w:type="dxa"/>
          </w:tcPr>
          <w:p w:rsidR="00AA48FC" w:rsidRPr="00407EEF" w:rsidRDefault="00AA48FC" w:rsidP="00407EEF">
            <w:pPr>
              <w:rPr>
                <w:rFonts w:cstheme="minorHAnsi"/>
              </w:rPr>
            </w:pPr>
          </w:p>
          <w:p w:rsidR="00407EEF" w:rsidRPr="00407EEF" w:rsidRDefault="00407EEF" w:rsidP="00407EEF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07EEF">
              <w:rPr>
                <w:rFonts w:cstheme="minorHAnsi"/>
                <w:b/>
                <w:bCs/>
              </w:rPr>
              <w:t>silikátová analýza</w:t>
            </w:r>
          </w:p>
          <w:p w:rsidR="00407EEF" w:rsidRPr="00407EEF" w:rsidRDefault="00407EEF" w:rsidP="00407EEF">
            <w:pPr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>Pomocí analýzy byl zjištěn obsah pojiva (CaCO</w:t>
            </w:r>
            <w:r w:rsidRPr="00407EEF">
              <w:rPr>
                <w:rFonts w:cstheme="minorHAnsi"/>
                <w:vertAlign w:val="subscript"/>
              </w:rPr>
              <w:t>3</w:t>
            </w:r>
            <w:r w:rsidRPr="00407EEF">
              <w:rPr>
                <w:rFonts w:cstheme="minorHAnsi"/>
              </w:rPr>
              <w:t>) a plniva v omítce. Ve vzorku byl určen obsah rozpustného SiO</w:t>
            </w:r>
            <w:r w:rsidRPr="00407EEF">
              <w:rPr>
                <w:rFonts w:cstheme="minorHAnsi"/>
                <w:vertAlign w:val="subscript"/>
              </w:rPr>
              <w:t>2</w:t>
            </w:r>
            <w:r w:rsidRPr="00407EEF">
              <w:rPr>
                <w:rFonts w:cstheme="minorHAnsi"/>
              </w:rPr>
              <w:t xml:space="preserve"> odpovědného za hydraulické vlastnosti maltovin. Obsah SiO</w:t>
            </w:r>
            <w:r w:rsidRPr="00407EEF">
              <w:rPr>
                <w:rFonts w:cstheme="minorHAnsi"/>
                <w:vertAlign w:val="subscript"/>
              </w:rPr>
              <w:t>2</w:t>
            </w:r>
            <w:r w:rsidRPr="00407EEF">
              <w:rPr>
                <w:rFonts w:cstheme="minorHAnsi"/>
              </w:rPr>
              <w:t xml:space="preserve"> byl vztažen na pojivo malty. 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3060"/>
            </w:tblGrid>
            <w:tr w:rsidR="00407EEF" w:rsidRPr="00407EEF" w:rsidTr="00230F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60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obsah (</w:t>
                  </w:r>
                  <w:proofErr w:type="gramStart"/>
                  <w:r w:rsidRPr="00407EEF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</w:tc>
            </w:tr>
            <w:tr w:rsidR="00407EEF" w:rsidRPr="00407EEF" w:rsidTr="00230F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rozpustný podíl (pojivo)</w:t>
                  </w:r>
                </w:p>
              </w:tc>
              <w:tc>
                <w:tcPr>
                  <w:tcW w:w="3060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40,3</w:t>
                  </w:r>
                </w:p>
              </w:tc>
            </w:tr>
            <w:tr w:rsidR="00407EEF" w:rsidRPr="00407EEF" w:rsidTr="00230F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407EEF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2,7</w:t>
                  </w:r>
                </w:p>
              </w:tc>
            </w:tr>
            <w:tr w:rsidR="00407EEF" w:rsidRPr="00407EEF" w:rsidTr="00230F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407EEF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407EEF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(vztaženo na rozpustné složky)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6,2</w:t>
                  </w:r>
                </w:p>
              </w:tc>
            </w:tr>
            <w:tr w:rsidR="00407EEF" w:rsidRPr="00407EEF" w:rsidTr="00230F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nerozpustný podíl (plnivo)</w:t>
                  </w:r>
                </w:p>
              </w:tc>
              <w:tc>
                <w:tcPr>
                  <w:tcW w:w="3060" w:type="dxa"/>
                  <w:tcBorders>
                    <w:left w:val="single" w:sz="12" w:space="0" w:color="auto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57,0</w:t>
                  </w:r>
                </w:p>
              </w:tc>
            </w:tr>
          </w:tbl>
          <w:p w:rsidR="00407EEF" w:rsidRPr="00407EEF" w:rsidRDefault="00407EEF" w:rsidP="00407EEF">
            <w:pPr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>Analyzovaná omítka byla připravena z bílého vzdušného vápna. Vzorek obsahuje relativně vysoké množství pojiva CaCO</w:t>
            </w:r>
            <w:r w:rsidRPr="00407EEF">
              <w:rPr>
                <w:rFonts w:cstheme="minorHAnsi"/>
                <w:vertAlign w:val="subscript"/>
              </w:rPr>
              <w:t>3</w:t>
            </w:r>
            <w:r w:rsidRPr="00407EEF">
              <w:rPr>
                <w:rFonts w:cstheme="minorHAnsi"/>
              </w:rPr>
              <w:t xml:space="preserve"> (cca 40 %). Množství SiO</w:t>
            </w:r>
            <w:r w:rsidRPr="00407EEF">
              <w:rPr>
                <w:rFonts w:cstheme="minorHAnsi"/>
                <w:vertAlign w:val="subscript"/>
              </w:rPr>
              <w:t>2</w:t>
            </w:r>
            <w:r w:rsidRPr="00407EEF">
              <w:rPr>
                <w:rFonts w:cstheme="minorHAnsi"/>
              </w:rPr>
              <w:t xml:space="preserve"> v omítce je nízký (2,7 %), vztaženo na pojivo (cca 6 %).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>Plnivem je křemičitý písek s majoritním zastoupením jemnozrnných částic. Největší zastoupení tvoří zrna o velikosti 0,063 až 0,25 mm, které v plnivu tvoří cca 85 %. Vysoký je  podíl zcela nejjemnějších zrn s velikostí menší než 0,063 mm (cca 20%).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>Písek je křemičitý, je tvořen převážně bezbarvými a transparentními zrny křemene a křemičitými minerály. V maltě byly nalezeny zbytky organického materiálu (dřeva, trav).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>Zastoupení jednotlivých frakcí písku použitého při přípravě malty je uveden tabulce, procentuální zastoupení frakcí je graficky znázorněno v grafu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8"/>
              <w:gridCol w:w="6246"/>
            </w:tblGrid>
            <w:tr w:rsidR="00407EEF" w:rsidRPr="00407EEF" w:rsidTr="00230F1B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31"/>
                    <w:gridCol w:w="1731"/>
                  </w:tblGrid>
                  <w:tr w:rsidR="00407EEF" w:rsidRPr="00407EEF" w:rsidTr="00230F1B">
                    <w:tc>
                      <w:tcPr>
                        <w:tcW w:w="2988" w:type="dxa"/>
                        <w:tcBorders>
                          <w:top w:val="nil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lastRenderedPageBreak/>
                          <w:t>velikost částic (mm)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12" w:space="0" w:color="auto"/>
                          <w:bottom w:val="double" w:sz="4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množství (</w:t>
                        </w:r>
                        <w:proofErr w:type="gramStart"/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hm.%)</w:t>
                        </w:r>
                        <w:proofErr w:type="gramEnd"/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top w:val="double" w:sz="4" w:space="0" w:color="auto"/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  <w:lang w:val="en-US"/>
                          </w:rPr>
                          <w:t>&lt;0,063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double" w:sz="4" w:space="0" w:color="auto"/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2,4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0,063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19,3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0,125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31,3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0,250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31,9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0,5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11,1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0,5</w:t>
                        </w:r>
                      </w:p>
                    </w:tc>
                  </w:tr>
                  <w:tr w:rsidR="00407EEF" w:rsidRPr="00407EEF" w:rsidTr="00230F1B">
                    <w:tc>
                      <w:tcPr>
                        <w:tcW w:w="2988" w:type="dxa"/>
                        <w:tcBorders>
                          <w:bottom w:val="nil"/>
                          <w:right w:val="single" w:sz="12" w:space="0" w:color="auto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407EEF">
                          <w:rPr>
                            <w:rFonts w:cstheme="minorHAnsi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3060" w:type="dxa"/>
                        <w:tcBorders>
                          <w:left w:val="single" w:sz="12" w:space="0" w:color="auto"/>
                          <w:bottom w:val="nil"/>
                        </w:tcBorders>
                      </w:tcPr>
                      <w:p w:rsidR="00407EEF" w:rsidRPr="00407EEF" w:rsidRDefault="00407EEF" w:rsidP="00407EE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407EEF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</w:tr>
                </w:tbl>
                <w:p w:rsidR="00407EEF" w:rsidRPr="00407EEF" w:rsidRDefault="00407EEF" w:rsidP="00407EE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EEF" w:rsidRPr="00407EEF" w:rsidRDefault="00407EEF" w:rsidP="00407EE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829050" cy="2085975"/>
                        <wp:effectExtent l="0" t="0" r="0" b="0"/>
                        <wp:docPr id="1" name="Graf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  <w:i/>
                      <w:iCs/>
                    </w:rPr>
                    <w:t>Legenda:</w:t>
                  </w:r>
                  <w:r w:rsidRPr="00407EEF">
                    <w:rPr>
                      <w:rFonts w:cstheme="minorHAnsi"/>
                    </w:rPr>
                    <w:t xml:space="preserve"> </w:t>
                  </w:r>
                  <w:r w:rsidRPr="00407EEF">
                    <w:rPr>
                      <w:rFonts w:cstheme="minorHAnsi"/>
                    </w:rPr>
                    <w:tab/>
                    <w:t>─ záchyt na sítu</w:t>
                  </w:r>
                </w:p>
                <w:p w:rsidR="00407EEF" w:rsidRPr="00407EEF" w:rsidRDefault="00407EEF" w:rsidP="00407EEF">
                  <w:pPr>
                    <w:spacing w:line="240" w:lineRule="auto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ab/>
                  </w:r>
                  <w:r w:rsidRPr="00407EEF">
                    <w:rPr>
                      <w:rFonts w:cstheme="minorHAnsi"/>
                    </w:rPr>
                    <w:tab/>
                  </w:r>
                  <w:r w:rsidRPr="00407EEF">
                    <w:rPr>
                      <w:rFonts w:cstheme="minorHAnsi"/>
                      <w:color w:val="FF0000"/>
                    </w:rPr>
                    <w:t xml:space="preserve">─ </w:t>
                  </w:r>
                  <w:r w:rsidRPr="00407EEF">
                    <w:rPr>
                      <w:rFonts w:cstheme="minorHAnsi"/>
                    </w:rPr>
                    <w:t>propad sítem</w:t>
                  </w:r>
                </w:p>
              </w:tc>
            </w:tr>
          </w:tbl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07EEF">
              <w:rPr>
                <w:rFonts w:cstheme="minorHAnsi"/>
                <w:b/>
                <w:bCs/>
              </w:rPr>
              <w:t>původní receptura malty</w:t>
            </w:r>
            <w:bookmarkStart w:id="0" w:name="_GoBack"/>
            <w:bookmarkEnd w:id="0"/>
          </w:p>
          <w:p w:rsidR="00407EEF" w:rsidRPr="00407EEF" w:rsidRDefault="00407EEF" w:rsidP="00407EEF">
            <w:pPr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 xml:space="preserve">Ze silikátové analýzy bylo vypočítáno původní složení malty. V maltě bylo vypočítáno použité množství pojiva (vápenný hydrát, vápenná kaše) a plniva. Na závěr byl určen poměr míšení pojiva a plniva v hmotnostních a objemových dílech. 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407EEF" w:rsidRPr="00407EEF" w:rsidTr="00230F1B"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407EEF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 kaše</w:t>
                  </w:r>
                </w:p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407EEF">
                    <w:rPr>
                      <w:rFonts w:cstheme="minorHAnsi"/>
                      <w:b/>
                      <w:bCs/>
                    </w:rPr>
                    <w:t>hm.d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407EEF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 hydrát</w:t>
                  </w:r>
                </w:p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407EEF">
                    <w:rPr>
                      <w:rFonts w:cstheme="minorHAnsi"/>
                      <w:b/>
                      <w:bCs/>
                    </w:rPr>
                    <w:t>hm.d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407EEF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 kaše</w:t>
                  </w:r>
                </w:p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407EEF">
                    <w:rPr>
                      <w:rFonts w:cstheme="minorHAnsi"/>
                      <w:b/>
                      <w:bCs/>
                    </w:rPr>
                    <w:t>obj.d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407EEF">
                    <w:rPr>
                      <w:rFonts w:cstheme="minorHAnsi"/>
                      <w:b/>
                      <w:bCs/>
                    </w:rPr>
                    <w:t>písek:váp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 hydrát</w:t>
                  </w:r>
                </w:p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07EEF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407EEF">
                    <w:rPr>
                      <w:rFonts w:cstheme="minorHAnsi"/>
                      <w:b/>
                      <w:bCs/>
                    </w:rPr>
                    <w:t>obj.d</w:t>
                  </w:r>
                  <w:proofErr w:type="spellEnd"/>
                  <w:r w:rsidRPr="00407EEF">
                    <w:rPr>
                      <w:rFonts w:cstheme="minorHAnsi"/>
                      <w:b/>
                      <w:bCs/>
                    </w:rPr>
                    <w:t>.)</w:t>
                  </w:r>
                  <w:proofErr w:type="gramEnd"/>
                </w:p>
              </w:tc>
            </w:tr>
            <w:tr w:rsidR="00407EEF" w:rsidRPr="00407EEF" w:rsidTr="00230F1B"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1:1</w:t>
                  </w:r>
                </w:p>
              </w:tc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2:1</w:t>
                  </w:r>
                </w:p>
              </w:tc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1:1</w:t>
                  </w:r>
                </w:p>
              </w:tc>
              <w:tc>
                <w:tcPr>
                  <w:tcW w:w="2303" w:type="dxa"/>
                </w:tcPr>
                <w:p w:rsidR="00407EEF" w:rsidRPr="00407EEF" w:rsidRDefault="00407EEF" w:rsidP="00407EE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07EEF">
                    <w:rPr>
                      <w:rFonts w:cstheme="minorHAnsi"/>
                    </w:rPr>
                    <w:t>1:1,5</w:t>
                  </w:r>
                </w:p>
              </w:tc>
            </w:tr>
          </w:tbl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  <w:b/>
                <w:bCs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  <w:b/>
                <w:bCs/>
              </w:rPr>
            </w:pPr>
            <w:r w:rsidRPr="00407EEF">
              <w:rPr>
                <w:rFonts w:cstheme="minorHAnsi"/>
                <w:b/>
                <w:bCs/>
              </w:rPr>
              <w:t>Souhrn: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  <w:b/>
                <w:bCs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 xml:space="preserve">Vzorek omítky odebraný z vnější fasády jízdárny zámku v Milovicích je vápenná malta s vysokým obsahem pojiva (40 %). Pojivem malty je bílé vzdušné vápno, plnivem je křemičitý písek s převažujícím jemnozrnným podílem zrn. </w:t>
            </w: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</w:p>
          <w:p w:rsidR="00407EEF" w:rsidRPr="00407EEF" w:rsidRDefault="00407EEF" w:rsidP="00407EEF">
            <w:pPr>
              <w:jc w:val="both"/>
              <w:rPr>
                <w:rFonts w:cstheme="minorHAnsi"/>
              </w:rPr>
            </w:pPr>
            <w:r w:rsidRPr="00407EEF">
              <w:rPr>
                <w:rFonts w:cstheme="minorHAnsi"/>
              </w:rPr>
              <w:t xml:space="preserve">Malta byla připravena z vápenné kaše nebo vápenného hydrátu míšením s pískem ve vysokém poměru 1:1, resp. 2:1 (hm.); v objemových dílech byl jeden díl vápenné kaše smíchán s jedním dílem písku (1:1), resp. na 1 díl písku byl vzat 1,5 dílu vápenného hydrátu. </w:t>
            </w:r>
          </w:p>
          <w:p w:rsidR="00407EEF" w:rsidRPr="00407EEF" w:rsidRDefault="00407EEF" w:rsidP="00407EEF">
            <w:pPr>
              <w:rPr>
                <w:rFonts w:cstheme="minorHAnsi"/>
              </w:rPr>
            </w:pPr>
          </w:p>
          <w:p w:rsidR="00407EEF" w:rsidRPr="00407EEF" w:rsidRDefault="00407EEF" w:rsidP="00407EEF">
            <w:pPr>
              <w:rPr>
                <w:rFonts w:cstheme="minorHAnsi"/>
              </w:rPr>
            </w:pPr>
          </w:p>
        </w:tc>
      </w:tr>
    </w:tbl>
    <w:p w:rsidR="009A03AE" w:rsidRPr="00407EEF" w:rsidRDefault="009A03AE" w:rsidP="00407EE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07EEF" w:rsidTr="00CF54D3">
        <w:tc>
          <w:tcPr>
            <w:tcW w:w="10060" w:type="dxa"/>
          </w:tcPr>
          <w:p w:rsidR="00AA48FC" w:rsidRPr="00407EEF" w:rsidRDefault="00AA48FC" w:rsidP="00407EEF">
            <w:pPr>
              <w:rPr>
                <w:rFonts w:cstheme="minorHAnsi"/>
                <w:b/>
              </w:rPr>
            </w:pPr>
            <w:r w:rsidRPr="00407EE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07EEF" w:rsidTr="00CF54D3">
        <w:tc>
          <w:tcPr>
            <w:tcW w:w="10060" w:type="dxa"/>
          </w:tcPr>
          <w:p w:rsidR="00AA48FC" w:rsidRPr="00407EEF" w:rsidRDefault="00AA48FC" w:rsidP="00407EEF">
            <w:pPr>
              <w:rPr>
                <w:rFonts w:cstheme="minorHAnsi"/>
              </w:rPr>
            </w:pPr>
          </w:p>
        </w:tc>
      </w:tr>
    </w:tbl>
    <w:p w:rsidR="0022194F" w:rsidRPr="00407EEF" w:rsidRDefault="0022194F" w:rsidP="00407EEF">
      <w:pPr>
        <w:spacing w:line="240" w:lineRule="auto"/>
        <w:rPr>
          <w:rFonts w:cstheme="minorHAnsi"/>
        </w:rPr>
      </w:pPr>
    </w:p>
    <w:sectPr w:rsidR="0022194F" w:rsidRPr="00407EEF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1" w:rsidRDefault="00B06811" w:rsidP="00AA48FC">
      <w:pPr>
        <w:spacing w:after="0" w:line="240" w:lineRule="auto"/>
      </w:pPr>
      <w:r>
        <w:separator/>
      </w:r>
    </w:p>
  </w:endnote>
  <w:endnote w:type="continuationSeparator" w:id="0">
    <w:p w:rsidR="00B06811" w:rsidRDefault="00B068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1" w:rsidRDefault="00B06811" w:rsidP="00AA48FC">
      <w:pPr>
        <w:spacing w:after="0" w:line="240" w:lineRule="auto"/>
      </w:pPr>
      <w:r>
        <w:separator/>
      </w:r>
    </w:p>
  </w:footnote>
  <w:footnote w:type="continuationSeparator" w:id="0">
    <w:p w:rsidR="00B06811" w:rsidRDefault="00B068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0A4"/>
    <w:multiLevelType w:val="hybridMultilevel"/>
    <w:tmpl w:val="1D9424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27271"/>
    <w:rsid w:val="001F20A2"/>
    <w:rsid w:val="0021097B"/>
    <w:rsid w:val="0022194F"/>
    <w:rsid w:val="002A6926"/>
    <w:rsid w:val="003D0950"/>
    <w:rsid w:val="00407EEF"/>
    <w:rsid w:val="005A54E0"/>
    <w:rsid w:val="005C155B"/>
    <w:rsid w:val="008862E7"/>
    <w:rsid w:val="009A03AE"/>
    <w:rsid w:val="00AA48FC"/>
    <w:rsid w:val="00B06811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34C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distribuční křivka plniva
fasáda jízdárny zámku v Miloticích</a:t>
            </a:r>
          </a:p>
        </c:rich>
      </c:tx>
      <c:layout>
        <c:manualLayout>
          <c:xMode val="edge"/>
          <c:yMode val="edge"/>
          <c:x val="0.28061224489795916"/>
          <c:y val="1.9138755980861243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193877551020408"/>
          <c:y val="0.23923444976076555"/>
          <c:w val="0.47448979591836737"/>
          <c:h val="0.39712918660287083"/>
        </c:manualLayout>
      </c:layout>
      <c:lineChart>
        <c:grouping val="standard"/>
        <c:varyColors val="0"/>
        <c:ser>
          <c:idx val="1"/>
          <c:order val="0"/>
          <c:tx>
            <c:strRef>
              <c:f>List2!$C$1</c:f>
              <c:strCache>
                <c:ptCount val="1"/>
                <c:pt idx="0">
                  <c:v>x1 (hm %)</c:v>
                </c:pt>
              </c:strCache>
            </c:strRef>
          </c:tx>
          <c:spPr>
            <a:ln w="2540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List2!$C$2:$C$11</c:f>
              <c:numCache>
                <c:formatCode>General</c:formatCode>
                <c:ptCount val="10"/>
                <c:pt idx="0">
                  <c:v>2.4</c:v>
                </c:pt>
                <c:pt idx="1">
                  <c:v>19.3</c:v>
                </c:pt>
                <c:pt idx="2">
                  <c:v>31.3</c:v>
                </c:pt>
                <c:pt idx="3">
                  <c:v>31.9</c:v>
                </c:pt>
                <c:pt idx="4">
                  <c:v>11.1</c:v>
                </c:pt>
                <c:pt idx="5">
                  <c:v>3.5</c:v>
                </c:pt>
                <c:pt idx="6">
                  <c:v>0.5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F8C-433E-843C-B37B8F5BE8CC}"/>
            </c:ext>
          </c:extLst>
        </c:ser>
        <c:ser>
          <c:idx val="2"/>
          <c:order val="1"/>
          <c:tx>
            <c:strRef>
              <c:f>List2!$D$1</c:f>
              <c:strCache>
                <c:ptCount val="1"/>
                <c:pt idx="0">
                  <c:v>x2 (hm %)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noFill/>
              <a:ln w="6350">
                <a:noFill/>
              </a:ln>
            </c:spPr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List2!$D$2:$D$11</c:f>
              <c:numCache>
                <c:formatCode>General</c:formatCode>
                <c:ptCount val="10"/>
                <c:pt idx="0">
                  <c:v>0</c:v>
                </c:pt>
                <c:pt idx="1">
                  <c:v>2.4</c:v>
                </c:pt>
                <c:pt idx="2">
                  <c:v>21.7</c:v>
                </c:pt>
                <c:pt idx="3">
                  <c:v>53</c:v>
                </c:pt>
                <c:pt idx="4">
                  <c:v>84.9</c:v>
                </c:pt>
                <c:pt idx="5">
                  <c:v>96</c:v>
                </c:pt>
                <c:pt idx="6">
                  <c:v>99.5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F8C-433E-843C-B37B8F5BE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33048"/>
        <c:axId val="1"/>
      </c:lineChart>
      <c:catAx>
        <c:axId val="169833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57908163265306123"/>
              <c:y val="0.77511961722488043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3.826530612244898E-2"/>
              <c:y val="0.24880382775119617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9833048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530612244897955"/>
          <c:y val="0.3349282296650718"/>
          <c:w val="0.22448979591836735"/>
          <c:h val="0.1866028708133971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2022-03-07T09:50:00Z</dcterms:created>
  <dcterms:modified xsi:type="dcterms:W3CDTF">2022-03-07T09:57:00Z</dcterms:modified>
</cp:coreProperties>
</file>