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F45CF0" w:rsidTr="00CF54D3">
        <w:tc>
          <w:tcPr>
            <w:tcW w:w="4606" w:type="dxa"/>
          </w:tcPr>
          <w:p w:rsidR="0022194F" w:rsidRPr="00F45CF0" w:rsidRDefault="0022194F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F45CF0" w:rsidRDefault="0022194F" w:rsidP="00F45CF0">
            <w:pPr>
              <w:rPr>
                <w:rFonts w:cstheme="minorHAnsi"/>
              </w:rPr>
            </w:pPr>
          </w:p>
        </w:tc>
      </w:tr>
      <w:tr w:rsidR="0022194F" w:rsidRPr="00F45CF0" w:rsidTr="00CF54D3">
        <w:tc>
          <w:tcPr>
            <w:tcW w:w="4606" w:type="dxa"/>
          </w:tcPr>
          <w:p w:rsidR="0022194F" w:rsidRPr="00F45CF0" w:rsidRDefault="0022194F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F45CF0" w:rsidRDefault="0022194F" w:rsidP="00F45CF0">
            <w:pPr>
              <w:rPr>
                <w:rFonts w:cstheme="minorHAnsi"/>
              </w:rPr>
            </w:pPr>
          </w:p>
        </w:tc>
      </w:tr>
      <w:tr w:rsidR="00AA48FC" w:rsidRPr="00F45CF0" w:rsidTr="00CF54D3">
        <w:tc>
          <w:tcPr>
            <w:tcW w:w="4606" w:type="dxa"/>
          </w:tcPr>
          <w:p w:rsidR="00AA48FC" w:rsidRPr="00F45CF0" w:rsidRDefault="00AA48FC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 xml:space="preserve">Pořadové číslo karty vzorku v </w:t>
            </w:r>
            <w:r w:rsidR="000A6440" w:rsidRPr="00F45CF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F45CF0" w:rsidRDefault="00F45CF0" w:rsidP="00F45CF0">
            <w:pPr>
              <w:rPr>
                <w:rFonts w:cstheme="minorHAnsi"/>
              </w:rPr>
            </w:pPr>
            <w:r w:rsidRPr="00F45CF0">
              <w:rPr>
                <w:rFonts w:cstheme="minorHAnsi"/>
              </w:rPr>
              <w:t>360</w:t>
            </w:r>
          </w:p>
        </w:tc>
      </w:tr>
      <w:tr w:rsidR="0022194F" w:rsidRPr="00F45CF0" w:rsidTr="00CF54D3">
        <w:tc>
          <w:tcPr>
            <w:tcW w:w="4606" w:type="dxa"/>
          </w:tcPr>
          <w:p w:rsidR="0022194F" w:rsidRPr="00F45CF0" w:rsidRDefault="0022194F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F45CF0" w:rsidRDefault="00F45CF0" w:rsidP="00F45CF0">
            <w:pPr>
              <w:rPr>
                <w:rFonts w:cstheme="minorHAnsi"/>
              </w:rPr>
            </w:pPr>
            <w:r w:rsidRPr="00F45CF0">
              <w:rPr>
                <w:rFonts w:cstheme="minorHAnsi"/>
              </w:rPr>
              <w:t>Moravská Třebová a Olomouc</w:t>
            </w:r>
          </w:p>
        </w:tc>
      </w:tr>
      <w:tr w:rsidR="0022194F" w:rsidRPr="00F45CF0" w:rsidTr="00CF54D3">
        <w:tc>
          <w:tcPr>
            <w:tcW w:w="4606" w:type="dxa"/>
          </w:tcPr>
          <w:p w:rsidR="0022194F" w:rsidRPr="00F45CF0" w:rsidRDefault="0022194F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F45CF0" w:rsidRDefault="00F45CF0" w:rsidP="00F45CF0">
            <w:pPr>
              <w:rPr>
                <w:rFonts w:cstheme="minorHAnsi"/>
              </w:rPr>
            </w:pPr>
            <w:r w:rsidRPr="00F45CF0">
              <w:rPr>
                <w:rFonts w:cstheme="minorHAnsi"/>
              </w:rPr>
              <w:t>MT-Schodiště mrtvých, Ol-Arcidiecézní muzeum</w:t>
            </w:r>
          </w:p>
        </w:tc>
      </w:tr>
      <w:tr w:rsidR="0022194F" w:rsidRPr="00F45CF0" w:rsidTr="00CF54D3">
        <w:tc>
          <w:tcPr>
            <w:tcW w:w="4606" w:type="dxa"/>
          </w:tcPr>
          <w:p w:rsidR="0022194F" w:rsidRPr="00F45CF0" w:rsidRDefault="0022194F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2740"/>
            </w:tblGrid>
            <w:tr w:rsidR="00F45CF0" w:rsidRPr="00F45CF0" w:rsidTr="00F45CF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F0" w:rsidRPr="00F45CF0" w:rsidRDefault="00F45CF0" w:rsidP="00F45C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F45CF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2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F0" w:rsidRPr="00F45CF0" w:rsidRDefault="00F45CF0" w:rsidP="00F45C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F45CF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vzorků</w:t>
                  </w:r>
                </w:p>
              </w:tc>
            </w:tr>
            <w:tr w:rsidR="00F45CF0" w:rsidRPr="00F45CF0" w:rsidTr="00F45CF0">
              <w:trPr>
                <w:trHeight w:val="9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F0" w:rsidRPr="00F45CF0" w:rsidRDefault="00F45CF0" w:rsidP="00F45C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45CF0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F0" w:rsidRPr="00F45CF0" w:rsidRDefault="00F45CF0" w:rsidP="00F45C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45CF0">
                    <w:rPr>
                      <w:rFonts w:eastAsia="Times New Roman" w:cstheme="minorHAnsi"/>
                      <w:color w:val="000000"/>
                      <w:lang w:eastAsia="cs-CZ"/>
                    </w:rPr>
                    <w:t>barokní omítka, Arcidiecézní muzeum, Olomouc</w:t>
                  </w:r>
                </w:p>
              </w:tc>
            </w:tr>
            <w:tr w:rsidR="00F45CF0" w:rsidRPr="00F45CF0" w:rsidTr="00F45CF0">
              <w:trPr>
                <w:trHeight w:val="300"/>
              </w:trPr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F0" w:rsidRPr="00F45CF0" w:rsidRDefault="00F45CF0" w:rsidP="00F45C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45CF0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7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F0" w:rsidRPr="00F45CF0" w:rsidRDefault="00F45CF0" w:rsidP="00F45C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45CF0">
                    <w:rPr>
                      <w:rFonts w:eastAsia="Times New Roman" w:cstheme="minorHAnsi"/>
                      <w:color w:val="000000"/>
                      <w:lang w:eastAsia="cs-CZ"/>
                    </w:rPr>
                    <w:t>renesanční omítka, Schodiště mrtvých, Moravská Třebová</w:t>
                  </w:r>
                </w:p>
              </w:tc>
            </w:tr>
            <w:tr w:rsidR="00F45CF0" w:rsidRPr="00F45CF0" w:rsidTr="00F45CF0">
              <w:trPr>
                <w:trHeight w:val="509"/>
              </w:trPr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CF0" w:rsidRPr="00F45CF0" w:rsidRDefault="00F45CF0" w:rsidP="00F45C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CF0" w:rsidRPr="00F45CF0" w:rsidRDefault="00F45CF0" w:rsidP="00F45C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F45CF0" w:rsidRPr="00F45CF0" w:rsidTr="00F45CF0">
              <w:trPr>
                <w:trHeight w:val="9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F0" w:rsidRPr="00F45CF0" w:rsidRDefault="00F45CF0" w:rsidP="00F45C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45CF0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F0" w:rsidRPr="00F45CF0" w:rsidRDefault="00F45CF0" w:rsidP="00F45C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45CF0">
                    <w:rPr>
                      <w:rFonts w:eastAsia="Times New Roman" w:cstheme="minorHAnsi"/>
                      <w:color w:val="000000"/>
                      <w:lang w:eastAsia="cs-CZ"/>
                    </w:rPr>
                    <w:t>renesanční omítka, Schodiště mrtvých, Moravská Třebová</w:t>
                  </w:r>
                </w:p>
              </w:tc>
            </w:tr>
          </w:tbl>
          <w:p w:rsidR="0022194F" w:rsidRPr="00F45CF0" w:rsidRDefault="0022194F" w:rsidP="00F45CF0">
            <w:pPr>
              <w:rPr>
                <w:rFonts w:cstheme="minorHAnsi"/>
              </w:rPr>
            </w:pPr>
          </w:p>
        </w:tc>
      </w:tr>
      <w:tr w:rsidR="0022194F" w:rsidRPr="00F45CF0" w:rsidTr="00CF54D3">
        <w:tc>
          <w:tcPr>
            <w:tcW w:w="4606" w:type="dxa"/>
          </w:tcPr>
          <w:p w:rsidR="0022194F" w:rsidRPr="00F45CF0" w:rsidRDefault="0022194F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F45CF0" w:rsidRDefault="0022194F" w:rsidP="00F45CF0">
            <w:pPr>
              <w:rPr>
                <w:rFonts w:cstheme="minorHAnsi"/>
              </w:rPr>
            </w:pPr>
          </w:p>
        </w:tc>
      </w:tr>
      <w:tr w:rsidR="0022194F" w:rsidRPr="00F45CF0" w:rsidTr="00CF54D3">
        <w:tc>
          <w:tcPr>
            <w:tcW w:w="4606" w:type="dxa"/>
          </w:tcPr>
          <w:p w:rsidR="0022194F" w:rsidRPr="00F45CF0" w:rsidRDefault="0022194F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F45CF0" w:rsidRDefault="0022194F" w:rsidP="00F45CF0">
            <w:pPr>
              <w:rPr>
                <w:rFonts w:cstheme="minorHAnsi"/>
              </w:rPr>
            </w:pPr>
          </w:p>
        </w:tc>
      </w:tr>
      <w:tr w:rsidR="0022194F" w:rsidRPr="00F45CF0" w:rsidTr="00CF54D3">
        <w:tc>
          <w:tcPr>
            <w:tcW w:w="4606" w:type="dxa"/>
          </w:tcPr>
          <w:p w:rsidR="0022194F" w:rsidRPr="00F45CF0" w:rsidRDefault="0022194F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F45CF0" w:rsidRDefault="0022194F" w:rsidP="00F45CF0">
            <w:pPr>
              <w:rPr>
                <w:rFonts w:cstheme="minorHAnsi"/>
              </w:rPr>
            </w:pPr>
          </w:p>
        </w:tc>
      </w:tr>
      <w:tr w:rsidR="0022194F" w:rsidRPr="00F45CF0" w:rsidTr="00CF54D3">
        <w:tc>
          <w:tcPr>
            <w:tcW w:w="4606" w:type="dxa"/>
          </w:tcPr>
          <w:p w:rsidR="0022194F" w:rsidRPr="00F45CF0" w:rsidRDefault="0022194F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Datace</w:t>
            </w:r>
            <w:r w:rsidR="00AA48FC" w:rsidRPr="00F45CF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F45CF0" w:rsidRDefault="0022194F" w:rsidP="00F45CF0">
            <w:pPr>
              <w:rPr>
                <w:rFonts w:cstheme="minorHAnsi"/>
              </w:rPr>
            </w:pPr>
          </w:p>
        </w:tc>
      </w:tr>
      <w:tr w:rsidR="0022194F" w:rsidRPr="00F45CF0" w:rsidTr="00CF54D3">
        <w:tc>
          <w:tcPr>
            <w:tcW w:w="4606" w:type="dxa"/>
          </w:tcPr>
          <w:p w:rsidR="0022194F" w:rsidRPr="00F45CF0" w:rsidRDefault="0022194F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F45CF0" w:rsidRDefault="0022194F" w:rsidP="00F45CF0">
            <w:pPr>
              <w:rPr>
                <w:rFonts w:cstheme="minorHAnsi"/>
              </w:rPr>
            </w:pPr>
          </w:p>
        </w:tc>
      </w:tr>
      <w:tr w:rsidR="0022194F" w:rsidRPr="00F45CF0" w:rsidTr="00CF54D3">
        <w:tc>
          <w:tcPr>
            <w:tcW w:w="4606" w:type="dxa"/>
          </w:tcPr>
          <w:p w:rsidR="0022194F" w:rsidRPr="00F45CF0" w:rsidRDefault="0022194F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Datum zpracování zprávy</w:t>
            </w:r>
            <w:r w:rsidR="00AA48FC" w:rsidRPr="00F45CF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F45CF0" w:rsidRDefault="00F45CF0" w:rsidP="00F45CF0">
            <w:pPr>
              <w:rPr>
                <w:rFonts w:cstheme="minorHAnsi"/>
              </w:rPr>
            </w:pPr>
            <w:r w:rsidRPr="00F45CF0">
              <w:rPr>
                <w:rFonts w:cstheme="minorHAnsi"/>
              </w:rPr>
              <w:t>2003</w:t>
            </w:r>
          </w:p>
        </w:tc>
      </w:tr>
      <w:tr w:rsidR="005A54E0" w:rsidRPr="00F45CF0" w:rsidTr="00CF54D3">
        <w:tc>
          <w:tcPr>
            <w:tcW w:w="4606" w:type="dxa"/>
          </w:tcPr>
          <w:p w:rsidR="005A54E0" w:rsidRPr="00F45CF0" w:rsidRDefault="005A54E0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Číslo příslušné zprávy v </w:t>
            </w:r>
            <w:r w:rsidR="000A6440" w:rsidRPr="00F45CF0">
              <w:rPr>
                <w:rFonts w:cstheme="minorHAnsi"/>
                <w:b/>
              </w:rPr>
              <w:t>databázi</w:t>
            </w:r>
            <w:r w:rsidRPr="00F45CF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F45CF0" w:rsidRDefault="00F45CF0" w:rsidP="00F45CF0">
            <w:pPr>
              <w:rPr>
                <w:rFonts w:cstheme="minorHAnsi"/>
              </w:rPr>
            </w:pPr>
            <w:r w:rsidRPr="00F45CF0">
              <w:rPr>
                <w:rFonts w:cstheme="minorHAnsi"/>
              </w:rPr>
              <w:t>2003_8</w:t>
            </w:r>
          </w:p>
        </w:tc>
      </w:tr>
    </w:tbl>
    <w:p w:rsidR="00AA48FC" w:rsidRPr="00F45CF0" w:rsidRDefault="00AA48FC" w:rsidP="00F45CF0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45CF0" w:rsidTr="00CF54D3">
        <w:tc>
          <w:tcPr>
            <w:tcW w:w="10060" w:type="dxa"/>
          </w:tcPr>
          <w:p w:rsidR="00AA48FC" w:rsidRPr="00F45CF0" w:rsidRDefault="00AA48FC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Výsledky analýzy</w:t>
            </w:r>
          </w:p>
        </w:tc>
      </w:tr>
      <w:tr w:rsidR="00AA48FC" w:rsidRPr="00F45CF0" w:rsidTr="00CF54D3">
        <w:tc>
          <w:tcPr>
            <w:tcW w:w="10060" w:type="dxa"/>
          </w:tcPr>
          <w:p w:rsidR="00AA48FC" w:rsidRPr="00F45CF0" w:rsidRDefault="00AA48FC" w:rsidP="00F45CF0">
            <w:pPr>
              <w:rPr>
                <w:rFonts w:cstheme="minorHAnsi"/>
              </w:rPr>
            </w:pPr>
          </w:p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5CF0" w:rsidRPr="00F45CF0" w:rsidRDefault="00F45CF0" w:rsidP="00F45CF0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Obsah pojiva a plniva</w:t>
            </w:r>
          </w:p>
          <w:p w:rsidR="00F45CF0" w:rsidRPr="00F45CF0" w:rsidRDefault="00F45CF0" w:rsidP="00F45CF0">
            <w:pPr>
              <w:jc w:val="both"/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1531"/>
              <w:gridCol w:w="1531"/>
              <w:gridCol w:w="1531"/>
              <w:gridCol w:w="1531"/>
              <w:gridCol w:w="1531"/>
            </w:tblGrid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1" w:type="dxa"/>
                  <w:tcBorders>
                    <w:bottom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označení vzorku</w:t>
                  </w:r>
                </w:p>
              </w:tc>
              <w:tc>
                <w:tcPr>
                  <w:tcW w:w="1531" w:type="dxa"/>
                  <w:tcBorders>
                    <w:bottom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obsah pojiva -vápence CaCO</w:t>
                  </w:r>
                  <w:r w:rsidRPr="00F45CF0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F45CF0">
                    <w:rPr>
                      <w:rFonts w:cstheme="minorHAnsi"/>
                      <w:b/>
                    </w:rPr>
                    <w:t xml:space="preserve"> (%)</w:t>
                  </w:r>
                </w:p>
              </w:tc>
              <w:tc>
                <w:tcPr>
                  <w:tcW w:w="1531" w:type="dxa"/>
                  <w:tcBorders>
                    <w:bottom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obsah pojiva - Ca(OH)</w:t>
                  </w:r>
                  <w:r w:rsidRPr="00F45CF0">
                    <w:rPr>
                      <w:rFonts w:cstheme="minorHAnsi"/>
                      <w:b/>
                      <w:vertAlign w:val="subscript"/>
                    </w:rPr>
                    <w:t>2</w:t>
                  </w:r>
                  <w:r w:rsidRPr="00F45CF0">
                    <w:rPr>
                      <w:rFonts w:cstheme="minorHAnsi"/>
                      <w:b/>
                    </w:rPr>
                    <w:t xml:space="preserve"> (%)</w:t>
                  </w:r>
                </w:p>
              </w:tc>
              <w:tc>
                <w:tcPr>
                  <w:tcW w:w="1531" w:type="dxa"/>
                  <w:tcBorders>
                    <w:bottom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rozpustný podíl SiO</w:t>
                  </w:r>
                  <w:r w:rsidRPr="00F45CF0">
                    <w:rPr>
                      <w:rFonts w:cstheme="minorHAnsi"/>
                      <w:b/>
                      <w:vertAlign w:val="subscript"/>
                    </w:rPr>
                    <w:t>2</w:t>
                  </w:r>
                  <w:r w:rsidRPr="00F45CF0">
                    <w:rPr>
                      <w:rFonts w:cstheme="minorHAnsi"/>
                      <w:b/>
                    </w:rPr>
                    <w:t xml:space="preserve"> (%)</w:t>
                  </w:r>
                </w:p>
              </w:tc>
              <w:tc>
                <w:tcPr>
                  <w:tcW w:w="1531" w:type="dxa"/>
                  <w:tcBorders>
                    <w:bottom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obsah plniva (%)</w:t>
                  </w:r>
                </w:p>
              </w:tc>
              <w:tc>
                <w:tcPr>
                  <w:tcW w:w="1531" w:type="dxa"/>
                  <w:tcBorders>
                    <w:bottom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hmotnostní poměr</w:t>
                  </w:r>
                </w:p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pojivo</w:t>
                  </w:r>
                  <w:r w:rsidRPr="00F45CF0">
                    <w:rPr>
                      <w:rFonts w:cstheme="minorHAnsi"/>
                      <w:b/>
                      <w:vertAlign w:val="superscript"/>
                    </w:rPr>
                    <w:t>1</w:t>
                  </w:r>
                  <w:r w:rsidRPr="00F45CF0">
                    <w:rPr>
                      <w:rFonts w:cstheme="minorHAnsi"/>
                      <w:b/>
                    </w:rPr>
                    <w:t>: plnivo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53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 xml:space="preserve"> 43,9</w:t>
                  </w:r>
                </w:p>
              </w:tc>
              <w:tc>
                <w:tcPr>
                  <w:tcW w:w="153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32,5</w:t>
                  </w:r>
                </w:p>
              </w:tc>
              <w:tc>
                <w:tcPr>
                  <w:tcW w:w="153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1,2</w:t>
                  </w:r>
                </w:p>
              </w:tc>
              <w:tc>
                <w:tcPr>
                  <w:tcW w:w="153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54,9</w:t>
                  </w:r>
                </w:p>
              </w:tc>
              <w:tc>
                <w:tcPr>
                  <w:tcW w:w="153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1:1,7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43,1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31,9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0,8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56,1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1:1,8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44,9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29,6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0,6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48,5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F45CF0">
                    <w:rPr>
                      <w:rFonts w:cstheme="minorHAnsi"/>
                    </w:rPr>
                    <w:t>1:1,7</w:t>
                  </w:r>
                </w:p>
              </w:tc>
            </w:tr>
          </w:tbl>
          <w:p w:rsidR="00F45CF0" w:rsidRPr="00F45CF0" w:rsidRDefault="00F45CF0" w:rsidP="00F45CF0">
            <w:pPr>
              <w:jc w:val="both"/>
              <w:rPr>
                <w:rFonts w:cstheme="minorHAnsi"/>
              </w:rPr>
            </w:pPr>
            <w:r w:rsidRPr="00F45CF0">
              <w:rPr>
                <w:rFonts w:cstheme="minorHAnsi"/>
                <w:b/>
              </w:rPr>
              <w:t xml:space="preserve">Pozn.: </w:t>
            </w:r>
            <w:r w:rsidRPr="00F45CF0">
              <w:rPr>
                <w:rFonts w:cstheme="minorHAnsi"/>
                <w:b/>
                <w:vertAlign w:val="superscript"/>
              </w:rPr>
              <w:t>1</w:t>
            </w:r>
            <w:r w:rsidRPr="00F45CF0">
              <w:rPr>
                <w:rFonts w:cstheme="minorHAnsi"/>
                <w:b/>
              </w:rPr>
              <w:t xml:space="preserve"> </w:t>
            </w:r>
            <w:r w:rsidRPr="00F45CF0">
              <w:rPr>
                <w:rFonts w:cstheme="minorHAnsi"/>
              </w:rPr>
              <w:t>pojivo je hydroxid vápenatý ve formě vápenného hydrátu, popř. vápenné kaše</w:t>
            </w:r>
          </w:p>
          <w:p w:rsidR="00F45CF0" w:rsidRPr="00F45CF0" w:rsidRDefault="00F45CF0" w:rsidP="00F45CF0">
            <w:pPr>
              <w:jc w:val="both"/>
              <w:rPr>
                <w:rFonts w:cstheme="minorHAnsi"/>
                <w:b/>
              </w:rPr>
            </w:pPr>
          </w:p>
          <w:p w:rsidR="00F45CF0" w:rsidRPr="00F45CF0" w:rsidRDefault="00F45CF0" w:rsidP="00F45CF0">
            <w:pPr>
              <w:jc w:val="both"/>
              <w:rPr>
                <w:rFonts w:cstheme="minorHAnsi"/>
                <w:b/>
              </w:rPr>
            </w:pPr>
          </w:p>
          <w:p w:rsidR="00F45CF0" w:rsidRPr="00F45CF0" w:rsidRDefault="00F45CF0" w:rsidP="00F45CF0">
            <w:pPr>
              <w:jc w:val="both"/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2.</w:t>
            </w:r>
            <w:r w:rsidRPr="00F45CF0">
              <w:rPr>
                <w:rFonts w:cstheme="minorHAnsi"/>
                <w:b/>
              </w:rPr>
              <w:tab/>
              <w:t>Stanovení granulometrie plniva</w:t>
            </w:r>
          </w:p>
          <w:p w:rsidR="00F45CF0" w:rsidRPr="00F45CF0" w:rsidRDefault="00F45CF0" w:rsidP="00F45CF0">
            <w:pPr>
              <w:jc w:val="both"/>
              <w:rPr>
                <w:rFonts w:cstheme="minorHAnsi"/>
                <w:b/>
              </w:rPr>
            </w:pPr>
          </w:p>
          <w:p w:rsidR="00F45CF0" w:rsidRPr="00F45CF0" w:rsidRDefault="00F45CF0" w:rsidP="00F45CF0">
            <w:pPr>
              <w:jc w:val="both"/>
              <w:rPr>
                <w:rFonts w:cstheme="minorHAnsi"/>
              </w:rPr>
            </w:pPr>
            <w:r w:rsidRPr="00F45CF0">
              <w:rPr>
                <w:rFonts w:cstheme="minorHAnsi"/>
                <w:b/>
              </w:rPr>
              <w:t xml:space="preserve">Vzorek č.1: </w:t>
            </w:r>
            <w:r w:rsidRPr="00F45CF0">
              <w:rPr>
                <w:rFonts w:cstheme="minorHAnsi"/>
              </w:rPr>
              <w:t>barokní omítka, Arcidiecézní muzeum, Olomouc</w:t>
            </w:r>
          </w:p>
          <w:p w:rsidR="00F45CF0" w:rsidRPr="00F45CF0" w:rsidRDefault="00F45CF0" w:rsidP="00F45CF0">
            <w:pPr>
              <w:jc w:val="both"/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  <w:tcBorders>
                    <w:bottom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průměr velikosti částic (mm)</w:t>
                  </w:r>
                </w:p>
              </w:tc>
              <w:tc>
                <w:tcPr>
                  <w:tcW w:w="4606" w:type="dxa"/>
                  <w:tcBorders>
                    <w:bottom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zastoupení frakce (%)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  <w:tcBorders>
                    <w:top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16</w:t>
                  </w:r>
                </w:p>
              </w:tc>
              <w:tc>
                <w:tcPr>
                  <w:tcW w:w="4606" w:type="dxa"/>
                  <w:tcBorders>
                    <w:top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-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8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-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lastRenderedPageBreak/>
                    <w:t>4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2,3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6,5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1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16,4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0,5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27,3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0,25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35,8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0,125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8,6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0,063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1,9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  <w:lang w:val="en-US"/>
                    </w:rPr>
                  </w:pPr>
                  <w:r w:rsidRPr="00F45CF0">
                    <w:rPr>
                      <w:rFonts w:cstheme="minorHAnsi"/>
                      <w:b/>
                      <w:lang w:val="en-US"/>
                    </w:rPr>
                    <w:t>&lt;0,063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1,2</w:t>
                  </w:r>
                </w:p>
              </w:tc>
            </w:tr>
          </w:tbl>
          <w:p w:rsidR="00F45CF0" w:rsidRPr="00F45CF0" w:rsidRDefault="00F45CF0" w:rsidP="00F45CF0">
            <w:pPr>
              <w:jc w:val="both"/>
              <w:rPr>
                <w:rFonts w:cstheme="minorHAnsi"/>
              </w:rPr>
            </w:pPr>
          </w:p>
          <w:p w:rsidR="00F45CF0" w:rsidRPr="00F45CF0" w:rsidRDefault="00F45CF0" w:rsidP="00F45CF0">
            <w:pPr>
              <w:jc w:val="both"/>
              <w:rPr>
                <w:rFonts w:cstheme="minorHAnsi"/>
              </w:rPr>
            </w:pPr>
          </w:p>
          <w:p w:rsidR="001A4E4E" w:rsidRDefault="001A4E4E" w:rsidP="00F45CF0">
            <w:pPr>
              <w:jc w:val="both"/>
              <w:rPr>
                <w:rFonts w:cstheme="minorHAnsi"/>
                <w:b/>
              </w:rPr>
            </w:pPr>
          </w:p>
          <w:p w:rsidR="00F45CF0" w:rsidRPr="00F45CF0" w:rsidRDefault="00F45CF0" w:rsidP="00F45CF0">
            <w:pPr>
              <w:jc w:val="both"/>
              <w:rPr>
                <w:rFonts w:cstheme="minorHAnsi"/>
                <w:b/>
              </w:rPr>
            </w:pPr>
            <w:r w:rsidRPr="00F45CF0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1111885</wp:posOffset>
                  </wp:positionH>
                  <wp:positionV relativeFrom="paragraph">
                    <wp:posOffset>290195</wp:posOffset>
                  </wp:positionV>
                  <wp:extent cx="4297680" cy="2560320"/>
                  <wp:effectExtent l="1905" t="0" r="0" b="1905"/>
                  <wp:wrapTopAndBottom/>
                  <wp:docPr id="3" name="Graf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CF0">
              <w:rPr>
                <w:rFonts w:cstheme="minorHAnsi"/>
                <w:b/>
              </w:rPr>
              <w:t xml:space="preserve">Kumulativní zrnitostní křivka: </w:t>
            </w:r>
          </w:p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5CF0" w:rsidRDefault="00F45CF0" w:rsidP="00F45CF0">
            <w:pPr>
              <w:jc w:val="both"/>
              <w:rPr>
                <w:rFonts w:cstheme="minorHAnsi"/>
                <w:b/>
              </w:rPr>
            </w:pPr>
          </w:p>
          <w:p w:rsidR="00F45CF0" w:rsidRDefault="00F45CF0" w:rsidP="00F45CF0">
            <w:pPr>
              <w:jc w:val="both"/>
              <w:rPr>
                <w:rFonts w:cstheme="minorHAnsi"/>
                <w:b/>
              </w:rPr>
            </w:pPr>
          </w:p>
          <w:p w:rsidR="00F45CF0" w:rsidRPr="00F45CF0" w:rsidRDefault="00F45CF0" w:rsidP="00F45CF0">
            <w:pPr>
              <w:jc w:val="both"/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Závěr:</w:t>
            </w:r>
          </w:p>
          <w:p w:rsidR="00F45CF0" w:rsidRPr="00F45CF0" w:rsidRDefault="00F45CF0" w:rsidP="00F45CF0">
            <w:pPr>
              <w:jc w:val="both"/>
              <w:rPr>
                <w:rFonts w:cstheme="minorHAnsi"/>
                <w:b/>
              </w:rPr>
            </w:pPr>
          </w:p>
          <w:p w:rsid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F45CF0">
              <w:rPr>
                <w:rFonts w:asciiTheme="minorHAnsi" w:hAnsiTheme="minorHAnsi" w:cstheme="minorHAnsi"/>
                <w:sz w:val="22"/>
                <w:szCs w:val="22"/>
              </w:rPr>
              <w:t>Distribuce velikosti částic je poměrně široká, v plnivu jsou zastoupeny frakce od 4 mm (2,3 %) až částice s velikostí částic menší než 0,063 mm (1,2 %). Nejvíce jsou zastoupeny frakce v intervalu velikosti částic 1 mm – 0,5 mm, celkem tvoří cca 80 % podílu plniva.</w:t>
            </w:r>
          </w:p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F45CF0">
              <w:rPr>
                <w:rFonts w:asciiTheme="minorHAnsi" w:hAnsiTheme="minorHAnsi" w:cstheme="minorHAnsi"/>
                <w:sz w:val="22"/>
                <w:szCs w:val="22"/>
              </w:rPr>
              <w:t>Plnivem je křemičitý písek, charakteristický je vysoký obsah železitých částic. Částice plniva jsou ostrohranné.</w:t>
            </w:r>
          </w:p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5CF0" w:rsidRPr="00F45CF0" w:rsidRDefault="00F45CF0" w:rsidP="00F45CF0">
            <w:pPr>
              <w:jc w:val="both"/>
              <w:rPr>
                <w:rFonts w:cstheme="minorHAnsi"/>
              </w:rPr>
            </w:pPr>
          </w:p>
          <w:p w:rsidR="00F45CF0" w:rsidRPr="00F45CF0" w:rsidRDefault="00F45CF0" w:rsidP="00F45CF0">
            <w:pPr>
              <w:jc w:val="both"/>
              <w:rPr>
                <w:rFonts w:cstheme="minorHAnsi"/>
              </w:rPr>
            </w:pPr>
            <w:r w:rsidRPr="00F45CF0">
              <w:rPr>
                <w:rFonts w:cstheme="minorHAnsi"/>
                <w:b/>
              </w:rPr>
              <w:t xml:space="preserve">Vzorek č.2: </w:t>
            </w:r>
            <w:r w:rsidRPr="00F45CF0">
              <w:rPr>
                <w:rFonts w:cstheme="minorHAnsi"/>
              </w:rPr>
              <w:t>renesanční omítka, Schodiště mrtvých, Moravská Třebová</w:t>
            </w:r>
          </w:p>
          <w:p w:rsidR="00F45CF0" w:rsidRPr="00F45CF0" w:rsidRDefault="00F45CF0" w:rsidP="00F45CF0">
            <w:pPr>
              <w:jc w:val="both"/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  <w:tcBorders>
                    <w:bottom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průměr velikosti částic (mm)</w:t>
                  </w:r>
                </w:p>
              </w:tc>
              <w:tc>
                <w:tcPr>
                  <w:tcW w:w="4606" w:type="dxa"/>
                  <w:tcBorders>
                    <w:bottom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zastoupení frakce (%)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  <w:tcBorders>
                    <w:top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16</w:t>
                  </w:r>
                </w:p>
              </w:tc>
              <w:tc>
                <w:tcPr>
                  <w:tcW w:w="4606" w:type="dxa"/>
                  <w:tcBorders>
                    <w:top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-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8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-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4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-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lastRenderedPageBreak/>
                    <w:t>2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5,2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1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13,5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0,5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27,5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0,25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40,4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0,125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9,4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0,063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2,3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  <w:lang w:val="en-US"/>
                    </w:rPr>
                  </w:pPr>
                  <w:r w:rsidRPr="00F45CF0">
                    <w:rPr>
                      <w:rFonts w:cstheme="minorHAnsi"/>
                      <w:b/>
                      <w:lang w:val="en-US"/>
                    </w:rPr>
                    <w:t>&lt;0,063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1,7</w:t>
                  </w:r>
                </w:p>
              </w:tc>
            </w:tr>
          </w:tbl>
          <w:p w:rsidR="00F45CF0" w:rsidRPr="00F45CF0" w:rsidRDefault="00F45CF0" w:rsidP="00F45CF0">
            <w:pPr>
              <w:jc w:val="both"/>
              <w:rPr>
                <w:rFonts w:cstheme="minorHAnsi"/>
              </w:rPr>
            </w:pPr>
          </w:p>
          <w:p w:rsidR="00F45CF0" w:rsidRDefault="00F45CF0" w:rsidP="00F45CF0">
            <w:pPr>
              <w:jc w:val="both"/>
              <w:rPr>
                <w:rFonts w:cstheme="minorHAnsi"/>
                <w:b/>
              </w:rPr>
            </w:pPr>
          </w:p>
          <w:p w:rsidR="001A4E4E" w:rsidRDefault="001A4E4E" w:rsidP="00F45CF0">
            <w:pPr>
              <w:jc w:val="both"/>
              <w:rPr>
                <w:rFonts w:cstheme="minorHAnsi"/>
                <w:b/>
              </w:rPr>
            </w:pPr>
          </w:p>
          <w:p w:rsidR="00F45CF0" w:rsidRPr="00F45CF0" w:rsidRDefault="00F45CF0" w:rsidP="00F45CF0">
            <w:pPr>
              <w:jc w:val="both"/>
              <w:rPr>
                <w:rFonts w:cstheme="minorHAnsi"/>
                <w:b/>
              </w:rPr>
            </w:pPr>
            <w:r w:rsidRPr="00F45CF0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436245</wp:posOffset>
                  </wp:positionV>
                  <wp:extent cx="4208780" cy="2517140"/>
                  <wp:effectExtent l="0" t="0" r="1270" b="0"/>
                  <wp:wrapTopAndBottom/>
                  <wp:docPr id="2" name="Gra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CF0">
              <w:rPr>
                <w:rFonts w:cstheme="minorHAnsi"/>
                <w:b/>
              </w:rPr>
              <w:t xml:space="preserve">Kumulativní zrnitostní křivka: </w:t>
            </w:r>
          </w:p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5CF0" w:rsidRDefault="00F45CF0" w:rsidP="00F45CF0">
            <w:pPr>
              <w:pStyle w:val="Zkladntext2"/>
              <w:ind w:firstLine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5CF0" w:rsidRDefault="00F45CF0" w:rsidP="00F45CF0">
            <w:pPr>
              <w:pStyle w:val="Zkladntext2"/>
              <w:ind w:firstLine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4E4E" w:rsidRDefault="001A4E4E" w:rsidP="00F45CF0">
            <w:pPr>
              <w:pStyle w:val="Zkladntext2"/>
              <w:ind w:firstLine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5CF0" w:rsidRPr="00F45CF0" w:rsidRDefault="00F45CF0" w:rsidP="00F45CF0">
            <w:pPr>
              <w:pStyle w:val="Zkladntext2"/>
              <w:ind w:firstLine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5CF0">
              <w:rPr>
                <w:rFonts w:asciiTheme="minorHAnsi" w:hAnsiTheme="minorHAnsi" w:cstheme="minorHAnsi"/>
                <w:b/>
                <w:sz w:val="22"/>
                <w:szCs w:val="22"/>
              </w:rPr>
              <w:t>Závěr:</w:t>
            </w:r>
          </w:p>
          <w:p w:rsid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5CF0">
              <w:rPr>
                <w:rFonts w:asciiTheme="minorHAnsi" w:hAnsiTheme="minorHAnsi" w:cstheme="minorHAnsi"/>
                <w:sz w:val="22"/>
                <w:szCs w:val="22"/>
              </w:rPr>
              <w:t xml:space="preserve">Distribuce velikosti částic je poměrně široká, v intervalu od 2 do </w:t>
            </w:r>
            <w:r w:rsidRPr="00F45C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&lt;0,063 mm. Nejvíce jsou zastoupeny frakce 0,5 a 0,25 mm, které tvoří téměř 65 % obsahu veškerého plniva.  </w:t>
            </w:r>
          </w:p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5C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Plnivo tvoří převážně křemen, zrna jsou ostrohranná, s matným povrchem  nebo slabě zbarvený do hnědo-červeného odstínu přítomností železitých sloučenin. Místy jsou patrné částice zeleného minerálu glaukonitu.</w:t>
            </w:r>
          </w:p>
          <w:p w:rsid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5CF0" w:rsidRPr="00F45CF0" w:rsidRDefault="00F45CF0" w:rsidP="00F45CF0">
            <w:pPr>
              <w:jc w:val="both"/>
              <w:rPr>
                <w:rFonts w:cstheme="minorHAnsi"/>
              </w:rPr>
            </w:pPr>
            <w:r w:rsidRPr="00F45CF0">
              <w:rPr>
                <w:rFonts w:cstheme="minorHAnsi"/>
                <w:b/>
              </w:rPr>
              <w:t xml:space="preserve">Vzorek č.3: </w:t>
            </w:r>
            <w:r w:rsidRPr="00F45CF0">
              <w:rPr>
                <w:rFonts w:cstheme="minorHAnsi"/>
              </w:rPr>
              <w:t>renesanční omítka, Schodiště mrtvých, Moravská Třebová</w:t>
            </w:r>
          </w:p>
          <w:p w:rsidR="00F45CF0" w:rsidRPr="00F45CF0" w:rsidRDefault="00F45CF0" w:rsidP="00F45CF0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  <w:tcBorders>
                    <w:bottom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průměr velikosti částic (mm)</w:t>
                  </w:r>
                </w:p>
              </w:tc>
              <w:tc>
                <w:tcPr>
                  <w:tcW w:w="4606" w:type="dxa"/>
                  <w:tcBorders>
                    <w:bottom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zastoupení frakce (%)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  <w:tcBorders>
                    <w:top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16</w:t>
                  </w:r>
                </w:p>
              </w:tc>
              <w:tc>
                <w:tcPr>
                  <w:tcW w:w="4606" w:type="dxa"/>
                  <w:tcBorders>
                    <w:top w:val="single" w:sz="12" w:space="0" w:color="auto"/>
                  </w:tcBorders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-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8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18,5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4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8,3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9,3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lastRenderedPageBreak/>
                    <w:t>1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14,2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0,5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20,0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0,25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17,3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0,125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4,7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0,063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3,6</w:t>
                  </w:r>
                </w:p>
              </w:tc>
            </w:tr>
            <w:tr w:rsidR="00F45CF0" w:rsidRPr="00F45CF0" w:rsidTr="001363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  <w:lang w:val="en-US"/>
                    </w:rPr>
                  </w:pPr>
                  <w:r w:rsidRPr="00F45CF0">
                    <w:rPr>
                      <w:rFonts w:cstheme="minorHAnsi"/>
                      <w:b/>
                      <w:lang w:val="en-US"/>
                    </w:rPr>
                    <w:t>&lt;0,063</w:t>
                  </w:r>
                </w:p>
              </w:tc>
              <w:tc>
                <w:tcPr>
                  <w:tcW w:w="4606" w:type="dxa"/>
                </w:tcPr>
                <w:p w:rsidR="00F45CF0" w:rsidRPr="00F45CF0" w:rsidRDefault="00F45CF0" w:rsidP="00F45CF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45CF0">
                    <w:rPr>
                      <w:rFonts w:cstheme="minorHAnsi"/>
                      <w:b/>
                    </w:rPr>
                    <w:t>4,1</w:t>
                  </w:r>
                </w:p>
              </w:tc>
            </w:tr>
          </w:tbl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5CF0" w:rsidRDefault="00F45CF0" w:rsidP="00F45CF0">
            <w:pPr>
              <w:jc w:val="both"/>
              <w:rPr>
                <w:rFonts w:cstheme="minorHAnsi"/>
                <w:b/>
              </w:rPr>
            </w:pPr>
          </w:p>
          <w:p w:rsidR="00F45CF0" w:rsidRPr="00F45CF0" w:rsidRDefault="00F45CF0" w:rsidP="00F45CF0">
            <w:pPr>
              <w:jc w:val="both"/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 xml:space="preserve">Kumulativní zrnitostní křivka: </w:t>
            </w:r>
          </w:p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F45CF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395605</wp:posOffset>
                  </wp:positionV>
                  <wp:extent cx="4166235" cy="2519680"/>
                  <wp:effectExtent l="0" t="3810" r="0" b="635"/>
                  <wp:wrapTopAndBottom/>
                  <wp:docPr id="1" name="Gra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5CF0" w:rsidRDefault="00F45CF0" w:rsidP="00F45CF0">
            <w:pPr>
              <w:pStyle w:val="Zkladntext2"/>
              <w:ind w:firstLine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4E4E" w:rsidRDefault="001A4E4E" w:rsidP="00F45CF0">
            <w:pPr>
              <w:pStyle w:val="Zkladntext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4E4E" w:rsidRDefault="001A4E4E" w:rsidP="00F45CF0">
            <w:pPr>
              <w:pStyle w:val="Zkladntext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F45CF0">
              <w:rPr>
                <w:rFonts w:asciiTheme="minorHAnsi" w:hAnsiTheme="minorHAnsi" w:cstheme="minorHAnsi"/>
                <w:b/>
                <w:sz w:val="22"/>
                <w:szCs w:val="22"/>
              </w:rPr>
              <w:t>Závěr:</w:t>
            </w:r>
          </w:p>
          <w:p w:rsid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F45CF0">
              <w:rPr>
                <w:rFonts w:asciiTheme="minorHAnsi" w:hAnsiTheme="minorHAnsi" w:cstheme="minorHAnsi"/>
                <w:sz w:val="22"/>
                <w:szCs w:val="22"/>
              </w:rPr>
              <w:t xml:space="preserve">Z makroskopického hlediska se jedná o vzorek malty výrazně načervenalého zbarvení. Pojivo malty je vápenné, plnivo tvoří převážně oblé částice s širokou distribucí velikosti částic (8 mm - </w:t>
            </w:r>
            <w:r w:rsidRPr="00F45C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</w:t>
            </w:r>
            <w:r w:rsidRPr="00F45CF0">
              <w:rPr>
                <w:rFonts w:asciiTheme="minorHAnsi" w:hAnsiTheme="minorHAnsi" w:cstheme="minorHAnsi"/>
                <w:sz w:val="22"/>
                <w:szCs w:val="22"/>
              </w:rPr>
              <w:t xml:space="preserve">0,063 mm). </w:t>
            </w:r>
          </w:p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F45CF0">
              <w:rPr>
                <w:rFonts w:asciiTheme="minorHAnsi" w:hAnsiTheme="minorHAnsi" w:cstheme="minorHAnsi"/>
                <w:sz w:val="22"/>
                <w:szCs w:val="22"/>
              </w:rPr>
              <w:t>Nejvíce jsou zastoupeny částice s distribucí od 8 do 2 mm, dále pak částice plniva v intervalu 1 mm – 0,25 mm. Frakce plniva o hrubé zrnitosti (8 mm a 4 mm) tvoří z velké části oblé červené částice křídy, které mohly být přidávány do vápenné malty záměrně, za účelem zvýšit pevnost a tvrdost malty (hydraulická přísada).</w:t>
            </w:r>
          </w:p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F45CF0">
              <w:rPr>
                <w:rFonts w:asciiTheme="minorHAnsi" w:hAnsiTheme="minorHAnsi" w:cstheme="minorHAnsi"/>
                <w:sz w:val="22"/>
                <w:szCs w:val="22"/>
              </w:rPr>
              <w:t>Relativně vysoké je i zastoupení frakcí velmi jemných částic (0,063 mm a méně), které tvoří cca 8 % celkového podílu plniva. Podíl nejjemnějších částic je tvořen jílovitými složkami charakteristického načervenalého zbarvení (železité ionty).</w:t>
            </w:r>
          </w:p>
          <w:p w:rsidR="00F45CF0" w:rsidRPr="00F45CF0" w:rsidRDefault="00F45CF0" w:rsidP="00F45CF0">
            <w:pPr>
              <w:pStyle w:val="Zkladntext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5CF0" w:rsidRPr="00F45CF0" w:rsidRDefault="00F45CF0" w:rsidP="00F45CF0">
            <w:pPr>
              <w:rPr>
                <w:rFonts w:cstheme="minorHAnsi"/>
              </w:rPr>
            </w:pPr>
            <w:r w:rsidRPr="00F45CF0">
              <w:rPr>
                <w:rFonts w:cstheme="minorHAnsi"/>
              </w:rPr>
              <w:t>Ve hmotě omítky byly nalezeny zbytky černého uhlí a úlomky dřeva, které</w:t>
            </w:r>
            <w:r>
              <w:rPr>
                <w:rFonts w:cstheme="minorHAnsi"/>
              </w:rPr>
              <w:t xml:space="preserve"> </w:t>
            </w:r>
            <w:r>
              <w:t>pravděpodobně pocházejí z procesu pálení vápna, kde se jako topivo používalo dřevo.</w:t>
            </w:r>
          </w:p>
          <w:p w:rsidR="00F45CF0" w:rsidRPr="00F45CF0" w:rsidRDefault="00F45CF0" w:rsidP="00F45CF0">
            <w:pPr>
              <w:rPr>
                <w:rFonts w:cstheme="minorHAnsi"/>
              </w:rPr>
            </w:pPr>
          </w:p>
        </w:tc>
      </w:tr>
    </w:tbl>
    <w:p w:rsidR="009A03AE" w:rsidRPr="00F45CF0" w:rsidRDefault="009A03AE" w:rsidP="00F45CF0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45CF0" w:rsidTr="00CF54D3">
        <w:tc>
          <w:tcPr>
            <w:tcW w:w="10060" w:type="dxa"/>
          </w:tcPr>
          <w:p w:rsidR="00AA48FC" w:rsidRPr="00F45CF0" w:rsidRDefault="00AA48FC" w:rsidP="00F45CF0">
            <w:pPr>
              <w:rPr>
                <w:rFonts w:cstheme="minorHAnsi"/>
                <w:b/>
              </w:rPr>
            </w:pPr>
            <w:r w:rsidRPr="00F45CF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45CF0" w:rsidTr="00CF54D3">
        <w:tc>
          <w:tcPr>
            <w:tcW w:w="10060" w:type="dxa"/>
          </w:tcPr>
          <w:p w:rsidR="00AA48FC" w:rsidRPr="00F45CF0" w:rsidRDefault="00AA48FC" w:rsidP="00F45CF0">
            <w:pPr>
              <w:rPr>
                <w:rFonts w:cstheme="minorHAnsi"/>
              </w:rPr>
            </w:pPr>
          </w:p>
        </w:tc>
      </w:tr>
    </w:tbl>
    <w:p w:rsidR="0022194F" w:rsidRPr="00F45CF0" w:rsidRDefault="0022194F" w:rsidP="00F45CF0">
      <w:pPr>
        <w:spacing w:line="240" w:lineRule="auto"/>
        <w:rPr>
          <w:rFonts w:cstheme="minorHAnsi"/>
        </w:rPr>
      </w:pPr>
    </w:p>
    <w:sectPr w:rsidR="0022194F" w:rsidRPr="00F45CF0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D5" w:rsidRDefault="007734D5" w:rsidP="00AA48FC">
      <w:pPr>
        <w:spacing w:after="0" w:line="240" w:lineRule="auto"/>
      </w:pPr>
      <w:r>
        <w:separator/>
      </w:r>
    </w:p>
  </w:endnote>
  <w:endnote w:type="continuationSeparator" w:id="0">
    <w:p w:rsidR="007734D5" w:rsidRDefault="007734D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D5" w:rsidRDefault="007734D5" w:rsidP="00AA48FC">
      <w:pPr>
        <w:spacing w:after="0" w:line="240" w:lineRule="auto"/>
      </w:pPr>
      <w:r>
        <w:separator/>
      </w:r>
    </w:p>
  </w:footnote>
  <w:footnote w:type="continuationSeparator" w:id="0">
    <w:p w:rsidR="007734D5" w:rsidRDefault="007734D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014A"/>
    <w:multiLevelType w:val="singleLevel"/>
    <w:tmpl w:val="2BD87F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A4E4E"/>
    <w:rsid w:val="001F20A2"/>
    <w:rsid w:val="0021097B"/>
    <w:rsid w:val="0022194F"/>
    <w:rsid w:val="002A6926"/>
    <w:rsid w:val="003D0950"/>
    <w:rsid w:val="005A54E0"/>
    <w:rsid w:val="005C155B"/>
    <w:rsid w:val="006C69C9"/>
    <w:rsid w:val="007734D5"/>
    <w:rsid w:val="008862E7"/>
    <w:rsid w:val="009A03AE"/>
    <w:rsid w:val="00AA48FC"/>
    <w:rsid w:val="00BF132F"/>
    <w:rsid w:val="00C30ACE"/>
    <w:rsid w:val="00C624F1"/>
    <w:rsid w:val="00C74C8C"/>
    <w:rsid w:val="00CC1EA8"/>
    <w:rsid w:val="00CF54D3"/>
    <w:rsid w:val="00EB0453"/>
    <w:rsid w:val="00F05260"/>
    <w:rsid w:val="00F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82B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semiHidden/>
    <w:rsid w:val="00F45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45C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51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Kumulativní zrnitostní křivka plniva (vz.č.1)</a:t>
            </a:r>
          </a:p>
        </c:rich>
      </c:tx>
      <c:layout>
        <c:manualLayout>
          <c:xMode val="edge"/>
          <c:yMode val="edge"/>
          <c:x val="0.27636363636363637"/>
          <c:y val="2.1212121212121213E-2"/>
        </c:manualLayout>
      </c:layout>
      <c:overlay val="0"/>
      <c:spPr>
        <a:noFill/>
        <a:ln w="2008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2545454545454546"/>
          <c:y val="0.13636363636363635"/>
          <c:w val="0.69090909090909092"/>
          <c:h val="0.65757575757575759"/>
        </c:manualLayout>
      </c:layout>
      <c:lineChart>
        <c:grouping val="standard"/>
        <c:varyColors val="0"/>
        <c:ser>
          <c:idx val="1"/>
          <c:order val="0"/>
          <c:tx>
            <c:v>záchyt na sítě (hm.%)</c:v>
          </c:tx>
          <c:spPr>
            <a:ln w="20081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List2!$A$2:$A$11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List2!$C$2:$C$11</c:f>
              <c:numCache>
                <c:formatCode>General</c:formatCode>
                <c:ptCount val="10"/>
                <c:pt idx="0">
                  <c:v>2.5</c:v>
                </c:pt>
                <c:pt idx="1">
                  <c:v>4</c:v>
                </c:pt>
                <c:pt idx="2">
                  <c:v>18</c:v>
                </c:pt>
                <c:pt idx="3">
                  <c:v>56.8</c:v>
                </c:pt>
                <c:pt idx="4">
                  <c:v>74.599999999999994</c:v>
                </c:pt>
                <c:pt idx="5">
                  <c:v>34.200000000000003</c:v>
                </c:pt>
                <c:pt idx="6">
                  <c:v>13.4</c:v>
                </c:pt>
                <c:pt idx="7">
                  <c:v>4.7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827-4675-A43B-520E091D4F4C}"/>
            </c:ext>
          </c:extLst>
        </c:ser>
        <c:ser>
          <c:idx val="2"/>
          <c:order val="1"/>
          <c:tx>
            <c:v>propad sítem (hm.%)</c:v>
          </c:tx>
          <c:spPr>
            <a:ln w="1004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List2!$A$2:$A$11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List2!$D$2:$D$11</c:f>
              <c:numCache>
                <c:formatCode>General</c:formatCode>
                <c:ptCount val="10"/>
                <c:pt idx="0">
                  <c:v>0</c:v>
                </c:pt>
                <c:pt idx="1">
                  <c:v>2.5</c:v>
                </c:pt>
                <c:pt idx="2">
                  <c:v>6.5</c:v>
                </c:pt>
                <c:pt idx="3">
                  <c:v>24.5</c:v>
                </c:pt>
                <c:pt idx="4">
                  <c:v>81.3</c:v>
                </c:pt>
                <c:pt idx="5">
                  <c:v>155.89999999999998</c:v>
                </c:pt>
                <c:pt idx="6">
                  <c:v>190.09999999999997</c:v>
                </c:pt>
                <c:pt idx="7">
                  <c:v>203.49999999999997</c:v>
                </c:pt>
                <c:pt idx="8">
                  <c:v>208.19999999999996</c:v>
                </c:pt>
                <c:pt idx="9">
                  <c:v>208.19999999999996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1827-4675-A43B-520E091D4F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58160"/>
        <c:axId val="1"/>
      </c:lineChart>
      <c:catAx>
        <c:axId val="153558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49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D (mm)</a:t>
                </a:r>
              </a:p>
            </c:rich>
          </c:tx>
          <c:layout>
            <c:manualLayout>
              <c:xMode val="edge"/>
              <c:yMode val="edge"/>
              <c:x val="0.7654545454545455"/>
              <c:y val="0.92121212121212126"/>
            </c:manualLayout>
          </c:layout>
          <c:overlay val="0"/>
          <c:spPr>
            <a:noFill/>
            <a:ln w="2008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1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l"/>
        <c:majorGridlines>
          <c:spPr>
            <a:ln w="2510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49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x (%hm.)</a:t>
                </a:r>
              </a:p>
            </c:rich>
          </c:tx>
          <c:layout>
            <c:manualLayout>
              <c:xMode val="edge"/>
              <c:yMode val="edge"/>
              <c:x val="4.1818181818181817E-2"/>
              <c:y val="0.20303030303030303"/>
            </c:manualLayout>
          </c:layout>
          <c:overlay val="0"/>
          <c:spPr>
            <a:noFill/>
            <a:ln w="2008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53558160"/>
        <c:crosses val="autoZero"/>
        <c:crossBetween val="between"/>
      </c:valAx>
      <c:spPr>
        <a:noFill/>
        <a:ln w="1004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8727272727272728"/>
          <c:y val="0.29090909090909089"/>
          <c:w val="0.29818181818181816"/>
          <c:h val="0.13030303030303031"/>
        </c:manualLayout>
      </c:layout>
      <c:overlay val="0"/>
      <c:spPr>
        <a:solidFill>
          <a:srgbClr val="FFFFFF"/>
        </a:solidFill>
        <a:ln w="2510">
          <a:solidFill>
            <a:srgbClr val="000000"/>
          </a:solidFill>
          <a:prstDash val="solid"/>
        </a:ln>
      </c:spPr>
      <c:txPr>
        <a:bodyPr/>
        <a:lstStyle/>
        <a:p>
          <a:pPr>
            <a:defRPr sz="727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2510">
      <a:solidFill>
        <a:srgbClr val="000000"/>
      </a:solidFill>
      <a:prstDash val="solid"/>
    </a:ln>
  </c:spPr>
  <c:txPr>
    <a:bodyPr/>
    <a:lstStyle/>
    <a:p>
      <a:pPr>
        <a:defRPr sz="1364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4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Kumulativní zrnitostní křivka (vz.č. 2)</a:t>
            </a:r>
          </a:p>
        </c:rich>
      </c:tx>
      <c:layout>
        <c:manualLayout>
          <c:xMode val="edge"/>
          <c:yMode val="edge"/>
          <c:x val="0.30560578661844484"/>
          <c:y val="2.0172910662824207E-2"/>
        </c:manualLayout>
      </c:layout>
      <c:overlay val="0"/>
      <c:spPr>
        <a:noFill/>
        <a:ln w="188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083182640144665"/>
          <c:y val="0.10951008645533142"/>
          <c:w val="0.74141048824593125"/>
          <c:h val="0.6945244956772334"/>
        </c:manualLayout>
      </c:layout>
      <c:lineChart>
        <c:grouping val="standard"/>
        <c:varyColors val="0"/>
        <c:ser>
          <c:idx val="1"/>
          <c:order val="0"/>
          <c:tx>
            <c:v>záchyt na sítě (hm.%)</c:v>
          </c:tx>
          <c:spPr>
            <a:ln w="18801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List2!$A$2:$A$11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List2!$C$2:$C$11</c:f>
              <c:numCache>
                <c:formatCode>General</c:formatCode>
                <c:ptCount val="10"/>
                <c:pt idx="0">
                  <c:v>3.3</c:v>
                </c:pt>
                <c:pt idx="1">
                  <c:v>4.5</c:v>
                </c:pt>
                <c:pt idx="2">
                  <c:v>18.399999999999999</c:v>
                </c:pt>
                <c:pt idx="3">
                  <c:v>79.400000000000006</c:v>
                </c:pt>
                <c:pt idx="4">
                  <c:v>54.2</c:v>
                </c:pt>
                <c:pt idx="5">
                  <c:v>26.5</c:v>
                </c:pt>
                <c:pt idx="6">
                  <c:v>10.3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10F-4142-B2E8-459D56EF9EF0}"/>
            </c:ext>
          </c:extLst>
        </c:ser>
        <c:ser>
          <c:idx val="2"/>
          <c:order val="1"/>
          <c:tx>
            <c:v>propad sítem (hm.%)</c:v>
          </c:tx>
          <c:spPr>
            <a:ln w="9401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List2!$A$2:$A$11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List2!$D$2:$D$11</c:f>
              <c:numCache>
                <c:formatCode>General</c:formatCode>
                <c:ptCount val="10"/>
                <c:pt idx="0">
                  <c:v>0</c:v>
                </c:pt>
                <c:pt idx="1">
                  <c:v>3.3</c:v>
                </c:pt>
                <c:pt idx="2">
                  <c:v>7.8</c:v>
                </c:pt>
                <c:pt idx="3">
                  <c:v>26.2</c:v>
                </c:pt>
                <c:pt idx="4">
                  <c:v>105.60000000000001</c:v>
                </c:pt>
                <c:pt idx="5">
                  <c:v>159.80000000000001</c:v>
                </c:pt>
                <c:pt idx="6">
                  <c:v>186.3</c:v>
                </c:pt>
                <c:pt idx="7">
                  <c:v>196.60000000000002</c:v>
                </c:pt>
                <c:pt idx="8">
                  <c:v>196.60000000000002</c:v>
                </c:pt>
                <c:pt idx="9">
                  <c:v>196.60000000000002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910F-4142-B2E8-459D56EF9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347024"/>
        <c:axId val="1"/>
      </c:lineChart>
      <c:catAx>
        <c:axId val="154347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88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D (mm)</a:t>
                </a:r>
              </a:p>
            </c:rich>
          </c:tx>
          <c:layout>
            <c:manualLayout>
              <c:xMode val="edge"/>
              <c:yMode val="edge"/>
              <c:x val="0.7649186256781193"/>
              <c:y val="0.9250720461095101"/>
            </c:manualLayout>
          </c:layout>
          <c:overlay val="0"/>
          <c:spPr>
            <a:noFill/>
            <a:ln w="188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5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88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l"/>
        <c:majorGridlines>
          <c:spPr>
            <a:ln w="2350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88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x (%hm.)</a:t>
                </a:r>
              </a:p>
            </c:rich>
          </c:tx>
          <c:layout>
            <c:manualLayout>
              <c:xMode val="edge"/>
              <c:yMode val="edge"/>
              <c:x val="0"/>
              <c:y val="0.18443804034582131"/>
            </c:manualLayout>
          </c:layout>
          <c:overlay val="0"/>
          <c:spPr>
            <a:noFill/>
            <a:ln w="188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8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54347024"/>
        <c:crosses val="autoZero"/>
        <c:crossBetween val="between"/>
      </c:valAx>
      <c:spPr>
        <a:noFill/>
        <a:ln w="9401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7504520795660041"/>
          <c:y val="0.25648414985590778"/>
          <c:w val="0.31283905967450271"/>
          <c:h val="0.12968299711815562"/>
        </c:manualLayout>
      </c:layout>
      <c:overlay val="0"/>
      <c:spPr>
        <a:solidFill>
          <a:srgbClr val="FFFFFF"/>
        </a:solidFill>
        <a:ln w="2350">
          <a:solidFill>
            <a:srgbClr val="000000"/>
          </a:solidFill>
          <a:prstDash val="solid"/>
        </a:ln>
      </c:spPr>
      <c:txPr>
        <a:bodyPr/>
        <a:lstStyle/>
        <a:p>
          <a:pPr>
            <a:defRPr sz="714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2350">
      <a:solidFill>
        <a:srgbClr val="000000"/>
      </a:solidFill>
      <a:prstDash val="solid"/>
    </a:ln>
  </c:spPr>
  <c:txPr>
    <a:bodyPr/>
    <a:lstStyle/>
    <a:p>
      <a:pPr>
        <a:defRPr sz="1277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4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Kumulativní zrnitostní křivka (vz.č.3)</a:t>
            </a:r>
          </a:p>
        </c:rich>
      </c:tx>
      <c:layout>
        <c:manualLayout>
          <c:xMode val="edge"/>
          <c:yMode val="edge"/>
          <c:x val="0.31911764705882351"/>
          <c:y val="1.9656019656019656E-2"/>
        </c:manualLayout>
      </c:layout>
      <c:overlay val="0"/>
      <c:spPr>
        <a:noFill/>
        <a:ln w="1610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441176470588236"/>
          <c:y val="0.13022113022113022"/>
          <c:w val="0.72352941176470587"/>
          <c:h val="0.66830466830466828"/>
        </c:manualLayout>
      </c:layout>
      <c:lineChart>
        <c:grouping val="standard"/>
        <c:varyColors val="0"/>
        <c:ser>
          <c:idx val="1"/>
          <c:order val="0"/>
          <c:tx>
            <c:v>záchyt na sítě (hm.%)</c:v>
          </c:tx>
          <c:spPr>
            <a:ln w="24152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List2!$A$2:$A$11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List2!$C$2:$C$11</c:f>
              <c:numCache>
                <c:formatCode>General</c:formatCode>
                <c:ptCount val="10"/>
                <c:pt idx="0">
                  <c:v>13.4</c:v>
                </c:pt>
                <c:pt idx="1">
                  <c:v>11.9</c:v>
                </c:pt>
                <c:pt idx="2">
                  <c:v>15.2</c:v>
                </c:pt>
                <c:pt idx="3">
                  <c:v>56.7</c:v>
                </c:pt>
                <c:pt idx="4">
                  <c:v>65.400000000000006</c:v>
                </c:pt>
                <c:pt idx="5">
                  <c:v>46.4</c:v>
                </c:pt>
                <c:pt idx="6">
                  <c:v>30.4</c:v>
                </c:pt>
                <c:pt idx="7">
                  <c:v>27.2</c:v>
                </c:pt>
                <c:pt idx="8">
                  <c:v>60.3</c:v>
                </c:pt>
                <c:pt idx="9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873F-43C7-85BF-41E734B6D800}"/>
            </c:ext>
          </c:extLst>
        </c:ser>
        <c:ser>
          <c:idx val="2"/>
          <c:order val="1"/>
          <c:tx>
            <c:v>propad sítem (hm.%)</c:v>
          </c:tx>
          <c:spPr>
            <a:ln w="8051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List2!$A$2:$A$11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List2!$D$2:$D$11</c:f>
              <c:numCache>
                <c:formatCode>General</c:formatCode>
                <c:ptCount val="10"/>
                <c:pt idx="0">
                  <c:v>0</c:v>
                </c:pt>
                <c:pt idx="1">
                  <c:v>13.4</c:v>
                </c:pt>
                <c:pt idx="2">
                  <c:v>25.3</c:v>
                </c:pt>
                <c:pt idx="3">
                  <c:v>40.5</c:v>
                </c:pt>
                <c:pt idx="4">
                  <c:v>97.2</c:v>
                </c:pt>
                <c:pt idx="5">
                  <c:v>162.60000000000002</c:v>
                </c:pt>
                <c:pt idx="6">
                  <c:v>209.00000000000003</c:v>
                </c:pt>
                <c:pt idx="7">
                  <c:v>239.40000000000003</c:v>
                </c:pt>
                <c:pt idx="8">
                  <c:v>266.60000000000002</c:v>
                </c:pt>
                <c:pt idx="9">
                  <c:v>326.90000000000003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873F-43C7-85BF-41E734B6D8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364040"/>
        <c:axId val="1"/>
      </c:lineChart>
      <c:catAx>
        <c:axId val="154364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19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D (mm)</a:t>
                </a:r>
              </a:p>
            </c:rich>
          </c:tx>
          <c:layout>
            <c:manualLayout>
              <c:xMode val="edge"/>
              <c:yMode val="edge"/>
              <c:x val="0.72647058823529409"/>
              <c:y val="0.92137592137592139"/>
            </c:manualLayout>
          </c:layout>
          <c:overlay val="0"/>
          <c:spPr>
            <a:noFill/>
            <a:ln w="1610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013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19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l"/>
        <c:majorGridlines>
          <c:spPr>
            <a:ln w="2013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19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x (%hm.)</a:t>
                </a:r>
              </a:p>
            </c:rich>
          </c:tx>
          <c:layout>
            <c:manualLayout>
              <c:xMode val="edge"/>
              <c:yMode val="edge"/>
              <c:x val="0"/>
              <c:y val="0.20147420147420148"/>
            </c:manualLayout>
          </c:layout>
          <c:overlay val="0"/>
          <c:spPr>
            <a:noFill/>
            <a:ln w="1610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0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9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54364040"/>
        <c:crosses val="autoZero"/>
        <c:crossBetween val="between"/>
      </c:valAx>
      <c:spPr>
        <a:noFill/>
        <a:ln w="8051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7647058823529407"/>
          <c:y val="0.24078624078624078"/>
          <c:w val="0.27205882352941174"/>
          <c:h val="0.12039312039312039"/>
        </c:manualLayout>
      </c:layout>
      <c:overlay val="0"/>
      <c:spPr>
        <a:solidFill>
          <a:srgbClr val="FFFFFF"/>
        </a:solidFill>
        <a:ln w="2013">
          <a:solidFill>
            <a:srgbClr val="000000"/>
          </a:solidFill>
          <a:prstDash val="solid"/>
        </a:ln>
      </c:spPr>
      <c:txPr>
        <a:bodyPr/>
        <a:lstStyle/>
        <a:p>
          <a:pPr>
            <a:defRPr sz="697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2013">
      <a:solidFill>
        <a:srgbClr val="000000"/>
      </a:solidFill>
      <a:prstDash val="solid"/>
    </a:ln>
  </c:spPr>
  <c:txPr>
    <a:bodyPr/>
    <a:lstStyle/>
    <a:p>
      <a:pPr>
        <a:defRPr sz="1347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2022-02-23T12:58:00Z</dcterms:created>
  <dcterms:modified xsi:type="dcterms:W3CDTF">2022-02-23T13:07:00Z</dcterms:modified>
</cp:coreProperties>
</file>