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AA48FC" w:rsidRPr="00C84F52" w:rsidTr="00CF54D3">
        <w:tc>
          <w:tcPr>
            <w:tcW w:w="4606" w:type="dxa"/>
          </w:tcPr>
          <w:p w:rsidR="00AA48FC" w:rsidRPr="00C84F52" w:rsidRDefault="00AA48FC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 xml:space="preserve">Pořadové číslo karty vzorku v </w:t>
            </w:r>
            <w:r w:rsidR="000A6440" w:rsidRPr="00C84F5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358</w:t>
            </w: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Hrad Pernštejn</w:t>
            </w: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Kámen hradu Pernštejn</w:t>
            </w: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30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1760"/>
            </w:tblGrid>
            <w:tr w:rsidR="00705246" w:rsidRPr="00705246" w:rsidTr="00705246">
              <w:trPr>
                <w:trHeight w:val="3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05246">
                    <w:rPr>
                      <w:rFonts w:eastAsia="Times New Roman" w:cstheme="minorHAnsi"/>
                      <w:b/>
                      <w:bCs/>
                      <w:i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1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705246" w:rsidRPr="00705246" w:rsidTr="00705246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Arial Unicode MS" w:cstheme="minorHAnsi"/>
                      <w:color w:val="000000"/>
                      <w:lang w:eastAsia="cs-CZ"/>
                    </w:rPr>
                    <w:t>nekonsolidovaný</w:t>
                  </w:r>
                </w:p>
              </w:tc>
            </w:tr>
            <w:tr w:rsidR="00705246" w:rsidRPr="00705246" w:rsidTr="00705246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Times New Roman" w:cstheme="minorHAnsi"/>
                      <w:bCs/>
                      <w:iCs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Arial Unicode MS" w:cstheme="minorHAnsi"/>
                      <w:color w:val="000000"/>
                      <w:lang w:eastAsia="cs-CZ"/>
                    </w:rPr>
                    <w:t>konsolidovaný</w:t>
                  </w:r>
                </w:p>
              </w:tc>
            </w:tr>
            <w:tr w:rsidR="00705246" w:rsidRPr="00705246" w:rsidTr="00705246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05246" w:rsidRPr="00705246" w:rsidRDefault="00705246" w:rsidP="00C84F52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05246">
                    <w:rPr>
                      <w:rFonts w:eastAsia="Arial Unicode MS" w:cstheme="minorHAnsi"/>
                      <w:color w:val="000000"/>
                      <w:lang w:eastAsia="cs-CZ"/>
                    </w:rPr>
                    <w:t>nekonsolidovaný</w:t>
                  </w:r>
                </w:p>
              </w:tc>
            </w:tr>
          </w:tbl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84F52" w:rsidRDefault="0022194F" w:rsidP="00C84F52">
            <w:pPr>
              <w:rPr>
                <w:rFonts w:cstheme="minorHAnsi"/>
              </w:rPr>
            </w:pP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Datace</w:t>
            </w:r>
            <w:r w:rsidR="00AA48FC" w:rsidRPr="00C84F5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Polovina 13. století</w:t>
            </w: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Bayer Karol</w:t>
            </w:r>
          </w:p>
        </w:tc>
      </w:tr>
      <w:tr w:rsidR="0022194F" w:rsidRPr="00C84F52" w:rsidTr="00CF54D3">
        <w:tc>
          <w:tcPr>
            <w:tcW w:w="4606" w:type="dxa"/>
          </w:tcPr>
          <w:p w:rsidR="0022194F" w:rsidRPr="00C84F52" w:rsidRDefault="0022194F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Datum zpracování zprávy</w:t>
            </w:r>
            <w:r w:rsidR="00AA48FC" w:rsidRPr="00C84F5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14. 11. 2003</w:t>
            </w:r>
          </w:p>
        </w:tc>
      </w:tr>
      <w:tr w:rsidR="005A54E0" w:rsidRPr="00C84F52" w:rsidTr="00CF54D3">
        <w:tc>
          <w:tcPr>
            <w:tcW w:w="4606" w:type="dxa"/>
          </w:tcPr>
          <w:p w:rsidR="005A54E0" w:rsidRPr="00C84F52" w:rsidRDefault="005A54E0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Číslo příslušné zprávy v </w:t>
            </w:r>
            <w:r w:rsidR="000A6440" w:rsidRPr="00C84F52">
              <w:rPr>
                <w:rFonts w:cstheme="minorHAnsi"/>
                <w:b/>
              </w:rPr>
              <w:t>databázi</w:t>
            </w:r>
            <w:r w:rsidRPr="00C84F5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84F52" w:rsidRDefault="00705246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>2003_6</w:t>
            </w:r>
          </w:p>
        </w:tc>
      </w:tr>
    </w:tbl>
    <w:p w:rsidR="00AA48FC" w:rsidRPr="00C84F52" w:rsidRDefault="00AA48FC" w:rsidP="00C84F52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84F52" w:rsidTr="00CF54D3">
        <w:tc>
          <w:tcPr>
            <w:tcW w:w="10060" w:type="dxa"/>
          </w:tcPr>
          <w:p w:rsidR="00AA48FC" w:rsidRPr="00C84F52" w:rsidRDefault="00AA48FC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Výsledky analýzy</w:t>
            </w:r>
          </w:p>
        </w:tc>
      </w:tr>
      <w:tr w:rsidR="00AA48FC" w:rsidRPr="00C84F52" w:rsidTr="00CF54D3">
        <w:tc>
          <w:tcPr>
            <w:tcW w:w="10060" w:type="dxa"/>
          </w:tcPr>
          <w:p w:rsidR="00AA48FC" w:rsidRPr="00C84F52" w:rsidRDefault="00AA48FC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pStyle w:val="Nadpis5"/>
              <w:outlineLvl w:val="4"/>
              <w:rPr>
                <w:rFonts w:asciiTheme="minorHAnsi" w:hAnsiTheme="minorHAnsi" w:cstheme="minorHAnsi"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sz w:val="22"/>
                <w:szCs w:val="22"/>
              </w:rPr>
              <w:t>UZ-transmise</w:t>
            </w:r>
          </w:p>
          <w:p w:rsidR="00C84F52" w:rsidRPr="00C84F52" w:rsidRDefault="00C84F52" w:rsidP="00C84F52">
            <w:pPr>
              <w:jc w:val="both"/>
              <w:rPr>
                <w:rFonts w:cstheme="minorHAnsi"/>
                <w:b/>
              </w:rPr>
            </w:pPr>
          </w:p>
          <w:p w:rsidR="00C84F52" w:rsidRPr="00C84F52" w:rsidRDefault="00C84F52" w:rsidP="00C84F52">
            <w:pPr>
              <w:jc w:val="both"/>
              <w:rPr>
                <w:rFonts w:cstheme="minorHAnsi"/>
                <w:bCs/>
                <w:iCs/>
              </w:rPr>
            </w:pPr>
            <w:r w:rsidRPr="00C84F52">
              <w:rPr>
                <w:rFonts w:cstheme="minorHAnsi"/>
                <w:bCs/>
                <w:iCs/>
              </w:rPr>
              <w:t xml:space="preserve">Metoda spočívá v měření rychlost přechodu </w:t>
            </w:r>
            <w:proofErr w:type="spellStart"/>
            <w:r w:rsidRPr="00C84F52">
              <w:rPr>
                <w:rFonts w:cstheme="minorHAnsi"/>
                <w:bCs/>
                <w:iCs/>
              </w:rPr>
              <w:t>longitudální</w:t>
            </w:r>
            <w:proofErr w:type="spellEnd"/>
            <w:r w:rsidRPr="00C84F52">
              <w:rPr>
                <w:rFonts w:cstheme="minorHAnsi"/>
                <w:bCs/>
                <w:iCs/>
              </w:rPr>
              <w:t xml:space="preserve"> vlny (p-vlny) zkoumaným materiálem. S klesající mírou stmelení kamene klesá i rychlost UZ.  </w:t>
            </w:r>
          </w:p>
          <w:p w:rsidR="00C84F52" w:rsidRDefault="00C84F52" w:rsidP="00C84F52">
            <w:pPr>
              <w:pStyle w:val="Zkladntext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V rámci měření byl jeden vzorek zkušebně zpevněn </w:t>
            </w:r>
            <w:proofErr w:type="gramStart"/>
            <w:r w:rsidRPr="00C84F52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10%-ním</w:t>
            </w:r>
            <w:proofErr w:type="gramEnd"/>
            <w:r w:rsidRPr="00C84F52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roztokem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>Paraloidu</w:t>
            </w:r>
            <w:proofErr w:type="spellEnd"/>
            <w:r w:rsidRPr="00C84F52"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  <w:t xml:space="preserve"> B 72 v xylenu.</w:t>
            </w:r>
          </w:p>
          <w:p w:rsidR="005F1DAC" w:rsidRPr="00C84F52" w:rsidRDefault="005F1DAC" w:rsidP="00C84F52">
            <w:pPr>
              <w:pStyle w:val="Zkladntext"/>
              <w:rPr>
                <w:rFonts w:asciiTheme="minorHAnsi" w:hAnsiTheme="minorHAnsi" w:cstheme="minorHAnsi"/>
                <w:bCs/>
                <w:iCs/>
                <w:sz w:val="22"/>
                <w:szCs w:val="22"/>
              </w:rPr>
            </w:pPr>
          </w:p>
          <w:p w:rsidR="00C84F52" w:rsidRPr="00C84F52" w:rsidRDefault="00C84F52" w:rsidP="00C84F52">
            <w:pPr>
              <w:jc w:val="both"/>
              <w:rPr>
                <w:rFonts w:cstheme="minorHAnsi"/>
                <w:bCs/>
                <w:i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54"/>
              <w:gridCol w:w="1923"/>
              <w:gridCol w:w="1260"/>
            </w:tblGrid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bCs/>
                      <w:iCs/>
                    </w:rPr>
                  </w:pPr>
                  <w:r w:rsidRPr="00C84F52">
                    <w:rPr>
                      <w:rFonts w:cstheme="minorHAnsi"/>
                      <w:bCs/>
                      <w:iCs/>
                    </w:rPr>
                    <w:t>Vzorek</w:t>
                  </w:r>
                </w:p>
              </w:tc>
              <w:tc>
                <w:tcPr>
                  <w:tcW w:w="1923" w:type="dxa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bCs/>
                      <w:iCs/>
                    </w:rPr>
                  </w:pPr>
                  <w:r w:rsidRPr="00C84F52">
                    <w:rPr>
                      <w:rFonts w:cstheme="minorHAnsi"/>
                      <w:bCs/>
                      <w:iCs/>
                    </w:rPr>
                    <w:t>Konsolidace</w:t>
                  </w:r>
                </w:p>
              </w:tc>
              <w:tc>
                <w:tcPr>
                  <w:tcW w:w="1260" w:type="dxa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bCs/>
                      <w:iCs/>
                    </w:rPr>
                  </w:pPr>
                  <w:r w:rsidRPr="00C84F52">
                    <w:rPr>
                      <w:rFonts w:cstheme="minorHAnsi"/>
                      <w:bCs/>
                      <w:iCs/>
                    </w:rPr>
                    <w:t>V (km/s)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nekonsolidovaný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0,93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nekonsolidovaný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1,55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nekonsolidovaný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1,10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nekonsolidovaný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1,09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bCs/>
                      <w:iCs/>
                    </w:rPr>
                  </w:pPr>
                  <w:r w:rsidRPr="00C84F52">
                    <w:rPr>
                      <w:rFonts w:cstheme="minorHAnsi"/>
                      <w:bCs/>
                      <w:iCs/>
                    </w:rPr>
                    <w:t>1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2,07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bCs/>
                      <w:iCs/>
                    </w:rPr>
                  </w:pPr>
                  <w:r w:rsidRPr="00C84F52">
                    <w:rPr>
                      <w:rFonts w:cstheme="minorHAnsi"/>
                      <w:bCs/>
                      <w:iCs/>
                    </w:rPr>
                    <w:t>1</w:t>
                  </w:r>
                </w:p>
              </w:tc>
              <w:tc>
                <w:tcPr>
                  <w:tcW w:w="1923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eastAsia="Arial Unicode MS" w:cstheme="minorHAnsi"/>
                    </w:rPr>
                    <w:t>konsolidovaný</w:t>
                  </w:r>
                </w:p>
              </w:tc>
              <w:tc>
                <w:tcPr>
                  <w:tcW w:w="1260" w:type="dxa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right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2,30</w:t>
                  </w:r>
                </w:p>
              </w:tc>
            </w:tr>
          </w:tbl>
          <w:p w:rsidR="00C84F52" w:rsidRPr="00C84F52" w:rsidRDefault="00C84F52" w:rsidP="00C84F52">
            <w:pPr>
              <w:jc w:val="both"/>
              <w:rPr>
                <w:rFonts w:cstheme="minorHAnsi"/>
                <w:bCs/>
                <w:iCs/>
              </w:rPr>
            </w:pPr>
          </w:p>
          <w:p w:rsidR="00C84F52" w:rsidRPr="00C84F52" w:rsidRDefault="00C84F52" w:rsidP="00C84F52">
            <w:pPr>
              <w:jc w:val="both"/>
              <w:rPr>
                <w:rFonts w:cstheme="minorHAnsi"/>
              </w:rPr>
            </w:pPr>
            <w:r w:rsidRPr="00C84F52">
              <w:rPr>
                <w:rFonts w:cstheme="minorHAnsi"/>
              </w:rPr>
              <w:t xml:space="preserve">Rychlost </w:t>
            </w:r>
            <w:proofErr w:type="spellStart"/>
            <w:r w:rsidRPr="00C84F52">
              <w:rPr>
                <w:rFonts w:cstheme="minorHAnsi"/>
              </w:rPr>
              <w:t>uz</w:t>
            </w:r>
            <w:proofErr w:type="spellEnd"/>
            <w:r w:rsidRPr="00C84F52">
              <w:rPr>
                <w:rFonts w:cstheme="minorHAnsi"/>
              </w:rPr>
              <w:t xml:space="preserve">-signálu je v měřených vzorcích velmi nízká a odpovídá rychlosti UZ v mramorech ve velmi vysokém stádiu degradace (pokročilá </w:t>
            </w:r>
            <w:proofErr w:type="spellStart"/>
            <w:r w:rsidRPr="00C84F52">
              <w:rPr>
                <w:rFonts w:cstheme="minorHAnsi"/>
              </w:rPr>
              <w:t>intergranulární</w:t>
            </w:r>
            <w:proofErr w:type="spellEnd"/>
            <w:r w:rsidRPr="00C84F52">
              <w:rPr>
                <w:rFonts w:cstheme="minorHAnsi"/>
              </w:rPr>
              <w:t xml:space="preserve"> dezintegrace). </w:t>
            </w:r>
          </w:p>
          <w:p w:rsidR="00C84F52" w:rsidRDefault="00C84F52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U konsolidovaných vzorků došlo k nárůstu rychlosti přibližně o 75% (z 1,24 km/s na 2,19km/s)</w:t>
            </w:r>
          </w:p>
          <w:p w:rsidR="005F1DAC" w:rsidRDefault="005F1DAC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5F1DAC" w:rsidRPr="00C84F52" w:rsidRDefault="005F1DAC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C84F52" w:rsidRPr="00C84F52" w:rsidRDefault="00C84F52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C84F52" w:rsidRDefault="00C84F52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 srovnání lze uvést hodnoty rychlosti UZ charakterizující jednotlivá stádia koroze carrarského mramoru získané dlouholetým studiem mechanizmu koroze mramoru (Köhler W.,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Ultrasonic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investigations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on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four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marble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tombs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the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old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northern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an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the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old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southern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cemetary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Munich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Proceedings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of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the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3.Workshop</w:t>
            </w:r>
            <w:proofErr w:type="gram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Eurocare-Euromarble</w:t>
            </w:r>
            <w:proofErr w:type="spell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, Göteborg 1992; </w:t>
            </w:r>
            <w:proofErr w:type="gramStart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s.95</w:t>
            </w:r>
            <w:proofErr w:type="gramEnd"/>
            <w:r w:rsidRPr="00C84F52">
              <w:rPr>
                <w:rFonts w:asciiTheme="minorHAnsi" w:hAnsiTheme="minorHAnsi" w:cstheme="minorHAnsi"/>
                <w:bCs/>
                <w:sz w:val="22"/>
                <w:szCs w:val="22"/>
              </w:rPr>
              <w:t>-109)</w:t>
            </w:r>
          </w:p>
          <w:p w:rsidR="005F1DAC" w:rsidRPr="00C84F52" w:rsidRDefault="005F1DAC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:rsidR="00C84F52" w:rsidRPr="00C84F52" w:rsidRDefault="00C84F52" w:rsidP="00C84F52">
            <w:pPr>
              <w:pStyle w:val="Zkladntex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06"/>
              <w:gridCol w:w="4606"/>
            </w:tblGrid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lastRenderedPageBreak/>
                    <w:t>Stav mramoru (stádium koroze)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Rychlost UZ (km/s)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Nekorodovaný mramor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&gt; 5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Vzrůst porosity; začínající </w:t>
                  </w:r>
                  <w:proofErr w:type="spellStart"/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intergranulární</w:t>
                  </w:r>
                  <w:proofErr w:type="spellEnd"/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dezintegrace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3-5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Pokračující </w:t>
                  </w:r>
                  <w:proofErr w:type="spellStart"/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intergranulární</w:t>
                  </w:r>
                  <w:proofErr w:type="spellEnd"/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 xml:space="preserve"> dezintegrace; počátek nebezpečí rozpadu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2-3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Nebezpečí rozpadu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&lt; 2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Úplná strukturální degradace</w:t>
                  </w:r>
                </w:p>
              </w:tc>
              <w:tc>
                <w:tcPr>
                  <w:tcW w:w="4606" w:type="dxa"/>
                </w:tcPr>
                <w:p w:rsidR="00C84F52" w:rsidRPr="00C84F52" w:rsidRDefault="00C84F52" w:rsidP="00C84F52">
                  <w:pPr>
                    <w:pStyle w:val="Zkladntext"/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</w:pPr>
                  <w:r w:rsidRPr="00C84F52">
                    <w:rPr>
                      <w:rFonts w:asciiTheme="minorHAnsi" w:hAnsiTheme="minorHAnsi" w:cstheme="minorHAnsi"/>
                      <w:bCs/>
                      <w:sz w:val="22"/>
                      <w:szCs w:val="22"/>
                    </w:rPr>
                    <w:t>&lt; 1,5</w:t>
                  </w:r>
                </w:p>
              </w:tc>
            </w:tr>
          </w:tbl>
          <w:p w:rsidR="00C84F52" w:rsidRPr="00C84F52" w:rsidRDefault="00C84F52" w:rsidP="00C84F52">
            <w:pPr>
              <w:jc w:val="both"/>
              <w:rPr>
                <w:rFonts w:cstheme="minorHAnsi"/>
              </w:rPr>
            </w:pPr>
          </w:p>
          <w:p w:rsidR="00C84F52" w:rsidRPr="00C84F52" w:rsidRDefault="00C84F52" w:rsidP="00C84F52">
            <w:pPr>
              <w:jc w:val="both"/>
              <w:rPr>
                <w:rFonts w:cstheme="minorHAnsi"/>
              </w:rPr>
            </w:pPr>
          </w:p>
          <w:p w:rsidR="00C84F52" w:rsidRPr="00C84F52" w:rsidRDefault="00C84F52" w:rsidP="00C84F52">
            <w:pPr>
              <w:pStyle w:val="Nadpis6"/>
              <w:outlineLvl w:val="5"/>
              <w:rPr>
                <w:rFonts w:asciiTheme="minorHAnsi" w:hAnsiTheme="minorHAnsi" w:cstheme="minorHAnsi"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sz w:val="22"/>
                <w:szCs w:val="22"/>
              </w:rPr>
              <w:t>Obsah vodorozpustných solí</w:t>
            </w: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05"/>
              <w:gridCol w:w="778"/>
              <w:gridCol w:w="1080"/>
              <w:gridCol w:w="778"/>
              <w:gridCol w:w="1080"/>
              <w:gridCol w:w="828"/>
              <w:gridCol w:w="1130"/>
            </w:tblGrid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0" w:type="auto"/>
                  <w:vMerge w:val="restart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Č.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vz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.</w:t>
                  </w:r>
                </w:p>
              </w:tc>
              <w:tc>
                <w:tcPr>
                  <w:tcW w:w="0" w:type="auto"/>
                  <w:gridSpan w:val="2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SO</w:t>
                  </w:r>
                  <w:r w:rsidRPr="00C84F52">
                    <w:rPr>
                      <w:rFonts w:cstheme="minorHAnsi"/>
                      <w:iCs/>
                      <w:vertAlign w:val="subscript"/>
                    </w:rPr>
                    <w:t>4</w:t>
                  </w:r>
                  <w:r w:rsidRPr="00C84F52">
                    <w:rPr>
                      <w:rFonts w:cstheme="minorHAnsi"/>
                      <w:iCs/>
                      <w:vertAlign w:val="superscript"/>
                    </w:rPr>
                    <w:t>2-</w:t>
                  </w:r>
                </w:p>
              </w:tc>
              <w:tc>
                <w:tcPr>
                  <w:tcW w:w="0" w:type="auto"/>
                  <w:gridSpan w:val="2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NO</w:t>
                  </w:r>
                  <w:r w:rsidRPr="00C84F52">
                    <w:rPr>
                      <w:rFonts w:cstheme="minorHAnsi"/>
                      <w:iCs/>
                      <w:vertAlign w:val="subscript"/>
                    </w:rPr>
                    <w:t>3</w:t>
                  </w:r>
                  <w:r w:rsidRPr="00C84F52">
                    <w:rPr>
                      <w:rFonts w:cstheme="minorHAnsi"/>
                      <w:iCs/>
                      <w:vertAlign w:val="superscript"/>
                    </w:rPr>
                    <w:t>-</w:t>
                  </w:r>
                </w:p>
              </w:tc>
              <w:tc>
                <w:tcPr>
                  <w:tcW w:w="0" w:type="auto"/>
                  <w:gridSpan w:val="2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Cl</w:t>
                  </w:r>
                  <w:r w:rsidRPr="00C84F52">
                    <w:rPr>
                      <w:rFonts w:cstheme="minorHAnsi"/>
                      <w:iCs/>
                      <w:vertAlign w:val="superscript"/>
                    </w:rPr>
                    <w:t>-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0" w:type="auto"/>
                  <w:vMerge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  <w:iCs/>
                    </w:rPr>
                  </w:pP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X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(%hm.)</w:t>
                  </w: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C 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(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mmol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/kg)</w:t>
                  </w: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X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(%hm.)</w:t>
                  </w: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C 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(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mmol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/kg)</w:t>
                  </w: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X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 (%hm.)</w:t>
                  </w:r>
                </w:p>
              </w:tc>
              <w:tc>
                <w:tcPr>
                  <w:tcW w:w="0" w:type="auto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>C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 (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mmol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/kg)</w:t>
                  </w:r>
                </w:p>
              </w:tc>
            </w:tr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&lt;1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&lt;2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&lt;0,01</w:t>
                  </w:r>
                </w:p>
              </w:tc>
              <w:tc>
                <w:tcPr>
                  <w:tcW w:w="0" w:type="auto"/>
                  <w:vAlign w:val="bottom"/>
                </w:tcPr>
                <w:p w:rsidR="00C84F52" w:rsidRPr="00C84F52" w:rsidRDefault="00C84F52" w:rsidP="00C84F52">
                  <w:pPr>
                    <w:spacing w:line="240" w:lineRule="auto"/>
                    <w:jc w:val="center"/>
                    <w:rPr>
                      <w:rFonts w:eastAsia="Arial Unicode MS" w:cstheme="minorHAnsi"/>
                    </w:rPr>
                  </w:pPr>
                  <w:r w:rsidRPr="00C84F52">
                    <w:rPr>
                      <w:rFonts w:cstheme="minorHAnsi"/>
                    </w:rPr>
                    <w:t>&lt;2,5</w:t>
                  </w:r>
                </w:p>
              </w:tc>
            </w:tr>
          </w:tbl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  <w:r w:rsidRPr="00C84F52">
              <w:rPr>
                <w:rFonts w:cstheme="minorHAnsi"/>
              </w:rPr>
              <w:t xml:space="preserve">Obsah vodorozpustných solí je u všech typů anionů velmi nízký . </w:t>
            </w:r>
            <w:proofErr w:type="gramStart"/>
            <w:r w:rsidRPr="00C84F52">
              <w:rPr>
                <w:rFonts w:cstheme="minorHAnsi"/>
              </w:rPr>
              <w:t>pod</w:t>
            </w:r>
            <w:proofErr w:type="gramEnd"/>
            <w:r w:rsidRPr="00C84F52">
              <w:rPr>
                <w:rFonts w:cstheme="minorHAnsi"/>
              </w:rPr>
              <w:t xml:space="preserve"> hranicí 0,01% a jejich vliv na korozi kamene je zřejmě zanedbatelný.</w:t>
            </w: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pStyle w:val="Nadpis6"/>
              <w:outlineLvl w:val="5"/>
              <w:rPr>
                <w:rFonts w:asciiTheme="minorHAnsi" w:hAnsiTheme="minorHAnsi" w:cstheme="minorHAnsi"/>
                <w:sz w:val="22"/>
                <w:szCs w:val="22"/>
              </w:rPr>
            </w:pPr>
            <w:r w:rsidRPr="00C84F52">
              <w:rPr>
                <w:rFonts w:asciiTheme="minorHAnsi" w:hAnsiTheme="minorHAnsi" w:cstheme="minorHAnsi"/>
                <w:sz w:val="22"/>
                <w:szCs w:val="22"/>
              </w:rPr>
              <w:t>Optická mikroskopie</w:t>
            </w: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tbl>
            <w:tblPr>
              <w:tblW w:w="93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72"/>
              <w:gridCol w:w="4672"/>
            </w:tblGrid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72" w:type="dxa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iCs/>
                    </w:rPr>
                  </w:pPr>
                  <w:proofErr w:type="spellStart"/>
                  <w:r w:rsidRPr="00C84F52">
                    <w:rPr>
                      <w:rFonts w:cstheme="minorHAnsi"/>
                      <w:iCs/>
                    </w:rPr>
                    <w:t>Mikrofoto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výbrusu, procházející světlo, zkřížené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nikoly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, fotografováno při zvětšení 50x,</w:t>
                  </w:r>
                </w:p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iCs/>
                    </w:rPr>
                    <w:t>Na obrázku je zřetelně viditelné oddělování kalcitových zrn podél hranic mezi zrny</w:t>
                  </w:r>
                </w:p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4" name="Obrázek 4" descr="dezintegracia mramoru 5x_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ezintegracia mramoru 5x_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2" w:type="dxa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iCs/>
                    </w:rPr>
                  </w:pPr>
                  <w:proofErr w:type="spellStart"/>
                  <w:r w:rsidRPr="00C84F52">
                    <w:rPr>
                      <w:rFonts w:cstheme="minorHAnsi"/>
                      <w:iCs/>
                    </w:rPr>
                    <w:t>Mikrofoto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výbrusu, procházející světlo, zkřížené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nikoly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, fotografováno při zvětšení 50x,</w:t>
                  </w:r>
                </w:p>
                <w:p w:rsidR="00C84F52" w:rsidRDefault="00C84F52" w:rsidP="00C84F52">
                  <w:pPr>
                    <w:pStyle w:val="Zhlav"/>
                    <w:tabs>
                      <w:tab w:val="clear" w:pos="4536"/>
                      <w:tab w:val="clear" w:pos="9072"/>
                    </w:tabs>
                    <w:rPr>
                      <w:rFonts w:cstheme="minorHAnsi"/>
                      <w:iCs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Rovněž  zřetelně viditelné oddělování kalcitových zrn </w:t>
                  </w:r>
                </w:p>
                <w:p w:rsidR="005F1DAC" w:rsidRPr="00C84F52" w:rsidRDefault="005F1DAC" w:rsidP="00C84F52">
                  <w:pPr>
                    <w:pStyle w:val="Zhlav"/>
                    <w:tabs>
                      <w:tab w:val="clear" w:pos="4536"/>
                      <w:tab w:val="clear" w:pos="9072"/>
                    </w:tabs>
                    <w:rPr>
                      <w:rFonts w:cstheme="minorHAnsi"/>
                    </w:rPr>
                  </w:pPr>
                </w:p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3" name="Obrázek 3" descr="dezintegracia mramoru 10x_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ezintegracia mramoru 10x_x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tbl>
            <w:tblPr>
              <w:tblW w:w="93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672"/>
              <w:gridCol w:w="4672"/>
            </w:tblGrid>
            <w:tr w:rsidR="00C84F52" w:rsidRPr="00C84F52" w:rsidTr="00811CA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672" w:type="dxa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iCs/>
                    </w:rPr>
                  </w:pPr>
                  <w:proofErr w:type="spellStart"/>
                  <w:r w:rsidRPr="00C84F52">
                    <w:rPr>
                      <w:rFonts w:cstheme="minorHAnsi"/>
                      <w:iCs/>
                    </w:rPr>
                    <w:lastRenderedPageBreak/>
                    <w:t>Mikrofoto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výbrusu, procházející světlo, zkřížené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nikoly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, fotografováno při zvětšení 100x,</w:t>
                  </w:r>
                </w:p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Detail pokročilé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intergranulární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dezintegrace </w:t>
                  </w:r>
                </w:p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2" name="Obrázek 2" descr="dezintegracia mramoru 10x_x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ezintegracia mramoru 10x_x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72" w:type="dxa"/>
                </w:tcPr>
                <w:p w:rsidR="00C84F52" w:rsidRPr="00C84F52" w:rsidRDefault="00C84F52" w:rsidP="00C84F52">
                  <w:pPr>
                    <w:spacing w:line="240" w:lineRule="auto"/>
                    <w:jc w:val="both"/>
                    <w:rPr>
                      <w:rFonts w:cstheme="minorHAnsi"/>
                      <w:iCs/>
                    </w:rPr>
                  </w:pPr>
                  <w:proofErr w:type="spellStart"/>
                  <w:r w:rsidRPr="00C84F52">
                    <w:rPr>
                      <w:rFonts w:cstheme="minorHAnsi"/>
                      <w:iCs/>
                    </w:rPr>
                    <w:t>Mikrofoto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výbrusu, procházející světlo, zkřížené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nikoly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>, fotografováno při zvětšení 50x,</w:t>
                  </w:r>
                </w:p>
                <w:p w:rsidR="00C84F52" w:rsidRPr="00C84F52" w:rsidRDefault="00C84F52" w:rsidP="00C84F52">
                  <w:pPr>
                    <w:spacing w:line="240" w:lineRule="auto"/>
                    <w:rPr>
                      <w:rFonts w:cstheme="minorHAnsi"/>
                    </w:rPr>
                  </w:pPr>
                  <w:r w:rsidRPr="00C84F52">
                    <w:rPr>
                      <w:rFonts w:cstheme="minorHAnsi"/>
                      <w:iCs/>
                    </w:rPr>
                    <w:t xml:space="preserve">Detail pokročilé </w:t>
                  </w:r>
                  <w:proofErr w:type="spellStart"/>
                  <w:r w:rsidRPr="00C84F52">
                    <w:rPr>
                      <w:rFonts w:cstheme="minorHAnsi"/>
                      <w:iCs/>
                    </w:rPr>
                    <w:t>intergranulární</w:t>
                  </w:r>
                  <w:proofErr w:type="spellEnd"/>
                  <w:r w:rsidRPr="00C84F52">
                    <w:rPr>
                      <w:rFonts w:cstheme="minorHAnsi"/>
                      <w:iCs/>
                    </w:rPr>
                    <w:t xml:space="preserve"> dezintegrace při povrchu mramoru </w:t>
                  </w:r>
                  <w:r w:rsidRPr="00C84F52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>
                        <wp:extent cx="2876550" cy="2162175"/>
                        <wp:effectExtent l="0" t="0" r="0" b="9525"/>
                        <wp:docPr id="1" name="Obrázek 1" descr="dezintegracia mramoru 5x_x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ezintegracia mramoru 5x_x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6550" cy="216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  <w:b/>
                <w:bCs/>
                <w:iCs/>
              </w:rPr>
            </w:pPr>
            <w:r w:rsidRPr="00C84F52">
              <w:rPr>
                <w:rFonts w:cstheme="minorHAnsi"/>
                <w:b/>
                <w:bCs/>
                <w:iCs/>
              </w:rPr>
              <w:t>Shrnutí:</w:t>
            </w: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Default="00C84F52" w:rsidP="00C84F52">
            <w:pPr>
              <w:jc w:val="both"/>
              <w:rPr>
                <w:rFonts w:cstheme="minorHAnsi"/>
              </w:rPr>
            </w:pPr>
            <w:r w:rsidRPr="00C84F52">
              <w:rPr>
                <w:rFonts w:cstheme="minorHAnsi"/>
              </w:rPr>
              <w:t>Jak je zřejmé z výsledků měření rychlosti UZ, tak i z mikroskopického studia výbrusů je zkoumaná hornina (</w:t>
            </w:r>
            <w:proofErr w:type="spellStart"/>
            <w:r w:rsidRPr="00C84F52">
              <w:rPr>
                <w:rFonts w:cstheme="minorHAnsi"/>
              </w:rPr>
              <w:t>hrubokrystalický</w:t>
            </w:r>
            <w:proofErr w:type="spellEnd"/>
            <w:r w:rsidRPr="00C84F52">
              <w:rPr>
                <w:rFonts w:cstheme="minorHAnsi"/>
              </w:rPr>
              <w:t xml:space="preserve"> mramor) ve velmi pokročilém stádiu degradace. K degradaci nedochází jen bezprostředně na povrchu, ale v celém objemu vzorků tj. vzhledem k velikosti vzorků  hloubky nejméně 2-3 cm. Tato degradace je vyvolána </w:t>
            </w:r>
            <w:proofErr w:type="spellStart"/>
            <w:r w:rsidRPr="00C84F52">
              <w:rPr>
                <w:rFonts w:cstheme="minorHAnsi"/>
              </w:rPr>
              <w:t>odtrhávaním</w:t>
            </w:r>
            <w:proofErr w:type="spellEnd"/>
            <w:r w:rsidRPr="00C84F52">
              <w:rPr>
                <w:rFonts w:cstheme="minorHAnsi"/>
              </w:rPr>
              <w:t xml:space="preserve"> a oddalováním kalcitových zrn od sebe tzv. </w:t>
            </w:r>
            <w:proofErr w:type="spellStart"/>
            <w:r w:rsidRPr="00C84F52">
              <w:rPr>
                <w:rFonts w:cstheme="minorHAnsi"/>
              </w:rPr>
              <w:t>intergranulární</w:t>
            </w:r>
            <w:proofErr w:type="spellEnd"/>
            <w:r w:rsidRPr="00C84F52">
              <w:rPr>
                <w:rFonts w:cstheme="minorHAnsi"/>
              </w:rPr>
              <w:t xml:space="preserve"> dezintegrace, která je velmi zřetelně patrná na fotografiích výbrusů. </w:t>
            </w:r>
            <w:r w:rsidRPr="00C84F52">
              <w:rPr>
                <w:rFonts w:cstheme="minorHAnsi"/>
                <w:b/>
                <w:bCs/>
              </w:rPr>
              <w:t xml:space="preserve">Stav kamene lze označit za velmi </w:t>
            </w:r>
            <w:proofErr w:type="gramStart"/>
            <w:r w:rsidRPr="00C84F52">
              <w:rPr>
                <w:rFonts w:cstheme="minorHAnsi"/>
                <w:b/>
                <w:bCs/>
              </w:rPr>
              <w:t>kritický</w:t>
            </w:r>
            <w:r w:rsidRPr="00C84F52">
              <w:rPr>
                <w:rFonts w:cstheme="minorHAnsi"/>
              </w:rPr>
              <w:t xml:space="preserve"> </w:t>
            </w:r>
            <w:r w:rsidRPr="00C84F52">
              <w:rPr>
                <w:rFonts w:cstheme="minorHAnsi"/>
                <w:b/>
                <w:bCs/>
              </w:rPr>
              <w:t>!!!</w:t>
            </w:r>
            <w:r w:rsidRPr="00C84F52">
              <w:rPr>
                <w:rFonts w:cstheme="minorHAnsi"/>
              </w:rPr>
              <w:t xml:space="preserve"> – krátce</w:t>
            </w:r>
            <w:proofErr w:type="gramEnd"/>
            <w:r w:rsidRPr="00C84F52">
              <w:rPr>
                <w:rFonts w:cstheme="minorHAnsi"/>
              </w:rPr>
              <w:t xml:space="preserve"> před úplným rozpadem. Pokud jsou v podobném stavu i další mramorové konzoly resp. jiné prvky, tak hrozí v poměrně krátké době další možnost vážných poškození daných prvků. Vzhledem k tomu, že konzoly mají pravděpodobně i nosnou funkci, mohlo by lokálně dojít případně i k statickým poruchám. </w:t>
            </w:r>
          </w:p>
          <w:p w:rsidR="005F1DAC" w:rsidRPr="00C84F52" w:rsidRDefault="005F1DAC" w:rsidP="00C84F52">
            <w:pPr>
              <w:jc w:val="both"/>
              <w:rPr>
                <w:rFonts w:cstheme="minorHAnsi"/>
              </w:rPr>
            </w:pPr>
            <w:bookmarkStart w:id="0" w:name="_GoBack"/>
            <w:bookmarkEnd w:id="0"/>
          </w:p>
          <w:p w:rsidR="00C84F52" w:rsidRPr="00C84F52" w:rsidRDefault="00C84F52" w:rsidP="00C84F52">
            <w:pPr>
              <w:jc w:val="both"/>
              <w:rPr>
                <w:rFonts w:cstheme="minorHAnsi"/>
              </w:rPr>
            </w:pPr>
            <w:r w:rsidRPr="00C84F52">
              <w:rPr>
                <w:rFonts w:cstheme="minorHAnsi"/>
              </w:rPr>
              <w:t xml:space="preserve">Vliv vodorozpustných solí je v tomto případě zřejmě zanedbatelný. Poškození jsou s největší pravděpodobností důsledkem mrazových cyklů, případně částečně i tepelné dilatace kalcitových zrn. </w:t>
            </w:r>
          </w:p>
          <w:p w:rsidR="00C84F52" w:rsidRPr="00C84F52" w:rsidRDefault="00C84F52" w:rsidP="00C84F52">
            <w:pPr>
              <w:jc w:val="both"/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  <w:p w:rsidR="00C84F52" w:rsidRPr="00C84F52" w:rsidRDefault="00C84F52" w:rsidP="00C84F52">
            <w:pPr>
              <w:rPr>
                <w:rFonts w:cstheme="minorHAnsi"/>
              </w:rPr>
            </w:pPr>
          </w:p>
        </w:tc>
      </w:tr>
    </w:tbl>
    <w:p w:rsidR="009A03AE" w:rsidRPr="00C84F52" w:rsidRDefault="009A03AE" w:rsidP="00C84F52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84F52" w:rsidTr="00CF54D3">
        <w:tc>
          <w:tcPr>
            <w:tcW w:w="10060" w:type="dxa"/>
          </w:tcPr>
          <w:p w:rsidR="00AA48FC" w:rsidRPr="00C84F52" w:rsidRDefault="00AA48FC" w:rsidP="00C84F52">
            <w:pPr>
              <w:rPr>
                <w:rFonts w:cstheme="minorHAnsi"/>
                <w:b/>
              </w:rPr>
            </w:pPr>
            <w:r w:rsidRPr="00C84F5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84F52" w:rsidTr="00CF54D3">
        <w:tc>
          <w:tcPr>
            <w:tcW w:w="10060" w:type="dxa"/>
          </w:tcPr>
          <w:p w:rsidR="00AA48FC" w:rsidRPr="00C84F52" w:rsidRDefault="00AA48FC" w:rsidP="00C84F52">
            <w:pPr>
              <w:rPr>
                <w:rFonts w:cstheme="minorHAnsi"/>
              </w:rPr>
            </w:pPr>
          </w:p>
        </w:tc>
      </w:tr>
    </w:tbl>
    <w:p w:rsidR="0022194F" w:rsidRPr="00C84F52" w:rsidRDefault="0022194F" w:rsidP="00C84F52">
      <w:pPr>
        <w:spacing w:line="240" w:lineRule="auto"/>
        <w:rPr>
          <w:rFonts w:cstheme="minorHAnsi"/>
        </w:rPr>
      </w:pPr>
    </w:p>
    <w:sectPr w:rsidR="0022194F" w:rsidRPr="00C84F52" w:rsidSect="00C624F1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1A7" w:rsidRDefault="000441A7" w:rsidP="00AA48FC">
      <w:pPr>
        <w:spacing w:after="0" w:line="240" w:lineRule="auto"/>
      </w:pPr>
      <w:r>
        <w:separator/>
      </w:r>
    </w:p>
  </w:endnote>
  <w:endnote w:type="continuationSeparator" w:id="0">
    <w:p w:rsidR="000441A7" w:rsidRDefault="000441A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1A7" w:rsidRDefault="000441A7" w:rsidP="00AA48FC">
      <w:pPr>
        <w:spacing w:after="0" w:line="240" w:lineRule="auto"/>
      </w:pPr>
      <w:r>
        <w:separator/>
      </w:r>
    </w:p>
  </w:footnote>
  <w:footnote w:type="continuationSeparator" w:id="0">
    <w:p w:rsidR="000441A7" w:rsidRDefault="000441A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6968"/>
    <w:rsid w:val="000441A7"/>
    <w:rsid w:val="0007253D"/>
    <w:rsid w:val="000A6440"/>
    <w:rsid w:val="001F20A2"/>
    <w:rsid w:val="0021097B"/>
    <w:rsid w:val="0022194F"/>
    <w:rsid w:val="002A6926"/>
    <w:rsid w:val="003D0950"/>
    <w:rsid w:val="005A54E0"/>
    <w:rsid w:val="005C155B"/>
    <w:rsid w:val="005F1DAC"/>
    <w:rsid w:val="00705246"/>
    <w:rsid w:val="008862E7"/>
    <w:rsid w:val="009A03AE"/>
    <w:rsid w:val="00AA48FC"/>
    <w:rsid w:val="00BF132F"/>
    <w:rsid w:val="00C30ACE"/>
    <w:rsid w:val="00C624F1"/>
    <w:rsid w:val="00C74C8C"/>
    <w:rsid w:val="00C84F52"/>
    <w:rsid w:val="00CC1EA8"/>
    <w:rsid w:val="00CF54D3"/>
    <w:rsid w:val="00EB0453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809B5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qFormat/>
    <w:rsid w:val="00C84F52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Cs/>
      <w:iCs/>
      <w:sz w:val="24"/>
      <w:szCs w:val="24"/>
      <w:u w:val="single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C84F52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5Char">
    <w:name w:val="Nadpis 5 Char"/>
    <w:basedOn w:val="Standardnpsmoodstavce"/>
    <w:link w:val="Nadpis5"/>
    <w:rsid w:val="00C84F52"/>
    <w:rPr>
      <w:rFonts w:ascii="Times New Roman" w:eastAsia="Times New Roman" w:hAnsi="Times New Roman" w:cs="Times New Roman"/>
      <w:bCs/>
      <w:iCs/>
      <w:sz w:val="24"/>
      <w:szCs w:val="24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rsid w:val="00C84F52"/>
    <w:rPr>
      <w:rFonts w:ascii="Times New Roman" w:eastAsia="Times New Roman" w:hAnsi="Times New Roman" w:cs="Times New Roman"/>
      <w:sz w:val="24"/>
      <w:szCs w:val="24"/>
      <w:u w:val="single"/>
      <w:lang w:eastAsia="cs-CZ"/>
    </w:rPr>
  </w:style>
  <w:style w:type="paragraph" w:styleId="Zkladntext">
    <w:name w:val="Body Text"/>
    <w:basedOn w:val="Normln"/>
    <w:link w:val="ZkladntextChar"/>
    <w:semiHidden/>
    <w:rsid w:val="00C84F5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84F52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555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2022-02-23T12:31:00Z</dcterms:created>
  <dcterms:modified xsi:type="dcterms:W3CDTF">2022-02-23T12:41:00Z</dcterms:modified>
</cp:coreProperties>
</file>