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330277" w:rsidTr="00862742">
        <w:tc>
          <w:tcPr>
            <w:tcW w:w="4606" w:type="dxa"/>
          </w:tcPr>
          <w:p w:rsidR="0022194F" w:rsidRPr="00330277" w:rsidRDefault="0022194F" w:rsidP="008862E7">
            <w:pPr>
              <w:rPr>
                <w:rFonts w:cstheme="minorHAnsi"/>
                <w:b/>
              </w:rPr>
            </w:pPr>
            <w:r w:rsidRPr="00330277">
              <w:rPr>
                <w:rFonts w:cstheme="minorHAnsi"/>
                <w:b/>
              </w:rPr>
              <w:t>Archivní číslo vzorku</w:t>
            </w:r>
          </w:p>
        </w:tc>
        <w:tc>
          <w:tcPr>
            <w:tcW w:w="5454" w:type="dxa"/>
          </w:tcPr>
          <w:p w:rsidR="0022194F" w:rsidRPr="00330277" w:rsidRDefault="0022194F" w:rsidP="008862E7">
            <w:pPr>
              <w:rPr>
                <w:rFonts w:cstheme="minorHAnsi"/>
              </w:rPr>
            </w:pP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 xml:space="preserve">Odběrové číslo vzorku </w:t>
            </w:r>
          </w:p>
        </w:tc>
        <w:tc>
          <w:tcPr>
            <w:tcW w:w="5454" w:type="dxa"/>
          </w:tcPr>
          <w:p w:rsidR="0022194F" w:rsidRPr="00330277" w:rsidRDefault="0022194F" w:rsidP="008862E7">
            <w:pPr>
              <w:rPr>
                <w:rFonts w:cstheme="minorHAnsi"/>
              </w:rPr>
            </w:pPr>
          </w:p>
        </w:tc>
      </w:tr>
      <w:tr w:rsidR="00AA48FC" w:rsidRPr="00330277" w:rsidTr="00862742">
        <w:tc>
          <w:tcPr>
            <w:tcW w:w="4606" w:type="dxa"/>
          </w:tcPr>
          <w:p w:rsidR="00AA48FC" w:rsidRPr="00330277" w:rsidRDefault="00AA48FC" w:rsidP="008862E7">
            <w:pPr>
              <w:rPr>
                <w:rFonts w:cstheme="minorHAnsi"/>
                <w:b/>
              </w:rPr>
            </w:pPr>
            <w:r w:rsidRPr="00330277">
              <w:rPr>
                <w:rFonts w:cstheme="minorHAnsi"/>
                <w:b/>
              </w:rPr>
              <w:t xml:space="preserve">Pořadové číslo karty vzorku v </w:t>
            </w:r>
            <w:r w:rsidR="000A6440" w:rsidRPr="00330277">
              <w:rPr>
                <w:rFonts w:cstheme="minorHAnsi"/>
                <w:b/>
              </w:rPr>
              <w:t>databázi</w:t>
            </w:r>
          </w:p>
        </w:tc>
        <w:tc>
          <w:tcPr>
            <w:tcW w:w="5454" w:type="dxa"/>
          </w:tcPr>
          <w:p w:rsidR="00AA48FC" w:rsidRPr="00330277" w:rsidRDefault="00E002B0" w:rsidP="008862E7">
            <w:pPr>
              <w:rPr>
                <w:rFonts w:cstheme="minorHAnsi"/>
              </w:rPr>
            </w:pPr>
            <w:r w:rsidRPr="00330277">
              <w:rPr>
                <w:rFonts w:cstheme="minorHAnsi"/>
              </w:rPr>
              <w:t>293</w:t>
            </w: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Místo</w:t>
            </w:r>
          </w:p>
        </w:tc>
        <w:tc>
          <w:tcPr>
            <w:tcW w:w="5454" w:type="dxa"/>
          </w:tcPr>
          <w:p w:rsidR="0022194F" w:rsidRPr="00330277" w:rsidRDefault="00E002B0" w:rsidP="008862E7">
            <w:pPr>
              <w:rPr>
                <w:rFonts w:cstheme="minorHAnsi"/>
              </w:rPr>
            </w:pPr>
            <w:r w:rsidRPr="00330277">
              <w:rPr>
                <w:rFonts w:cstheme="minorHAnsi"/>
              </w:rPr>
              <w:t>Kutná Hora</w:t>
            </w: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Objekt</w:t>
            </w:r>
          </w:p>
        </w:tc>
        <w:tc>
          <w:tcPr>
            <w:tcW w:w="5454" w:type="dxa"/>
          </w:tcPr>
          <w:p w:rsidR="0022194F" w:rsidRPr="00330277" w:rsidRDefault="00E002B0" w:rsidP="008862E7">
            <w:pPr>
              <w:rPr>
                <w:rFonts w:cstheme="minorHAnsi"/>
              </w:rPr>
            </w:pPr>
            <w:r w:rsidRPr="00330277">
              <w:rPr>
                <w:rFonts w:cstheme="minorHAnsi"/>
              </w:rPr>
              <w:t>Kamenná kašna, vyhodnocení odsolování</w:t>
            </w: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Místo odběru popis</w:t>
            </w:r>
          </w:p>
        </w:tc>
        <w:tc>
          <w:tcPr>
            <w:tcW w:w="5454" w:type="dxa"/>
          </w:tcPr>
          <w:tbl>
            <w:tblPr>
              <w:tblW w:w="4920" w:type="dxa"/>
              <w:tblCellMar>
                <w:left w:w="70" w:type="dxa"/>
                <w:right w:w="70" w:type="dxa"/>
              </w:tblCellMar>
              <w:tblLook w:val="04A0" w:firstRow="1" w:lastRow="0" w:firstColumn="1" w:lastColumn="0" w:noHBand="0" w:noVBand="1"/>
            </w:tblPr>
            <w:tblGrid>
              <w:gridCol w:w="2068"/>
              <w:gridCol w:w="4548"/>
            </w:tblGrid>
            <w:tr w:rsidR="00862742" w:rsidRPr="00862742" w:rsidTr="00330277">
              <w:trPr>
                <w:trHeight w:val="300"/>
              </w:trPr>
              <w:tc>
                <w:tcPr>
                  <w:tcW w:w="49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742" w:rsidRPr="00862742" w:rsidRDefault="00862742" w:rsidP="00862742">
                  <w:pPr>
                    <w:spacing w:after="0" w:line="240" w:lineRule="auto"/>
                    <w:rPr>
                      <w:rFonts w:eastAsia="Times New Roman" w:cstheme="minorHAnsi"/>
                      <w:b/>
                      <w:color w:val="000000"/>
                      <w:lang w:eastAsia="cs-CZ"/>
                    </w:rPr>
                  </w:pPr>
                  <w:r w:rsidRPr="00862742">
                    <w:rPr>
                      <w:rFonts w:eastAsia="Times New Roman" w:cstheme="minorHAnsi"/>
                      <w:b/>
                      <w:color w:val="000000"/>
                      <w:lang w:eastAsia="cs-CZ"/>
                    </w:rPr>
                    <w:t>Tab. 1. Místa odběru vzorků z kamene druhá etapa</w:t>
                  </w:r>
                </w:p>
              </w:tc>
            </w:tr>
            <w:tr w:rsidR="00862742" w:rsidRPr="00862742" w:rsidTr="00330277">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b/>
                      <w:bCs/>
                      <w:color w:val="000000"/>
                      <w:lang w:eastAsia="cs-CZ"/>
                    </w:rPr>
                  </w:pPr>
                  <w:r w:rsidRPr="00862742">
                    <w:rPr>
                      <w:rFonts w:eastAsia="Times New Roman" w:cstheme="minorHAnsi"/>
                      <w:b/>
                      <w:bCs/>
                      <w:color w:val="000000"/>
                      <w:lang w:eastAsia="cs-CZ"/>
                    </w:rPr>
                    <w:t>Označení vzorku</w:t>
                  </w:r>
                </w:p>
              </w:tc>
              <w:tc>
                <w:tcPr>
                  <w:tcW w:w="388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b/>
                      <w:bCs/>
                      <w:color w:val="000000"/>
                      <w:lang w:eastAsia="cs-CZ"/>
                    </w:rPr>
                  </w:pPr>
                  <w:r w:rsidRPr="00862742">
                    <w:rPr>
                      <w:rFonts w:eastAsia="Times New Roman" w:cstheme="minorHAnsi"/>
                      <w:b/>
                      <w:bCs/>
                      <w:color w:val="000000"/>
                      <w:lang w:eastAsia="cs-CZ"/>
                    </w:rPr>
                    <w:t>Popis místa odběru vzorku</w:t>
                  </w: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V1_2 </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hořický pískovec, výška odběru od země 323cm</w:t>
                  </w: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V1_4</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V1_8 </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V2_2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hořický pískovec, výška odběru od země 270cm</w:t>
                  </w: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V2_4</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V2_8 </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V3_2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vápenec, výška odběru od země 152cm</w:t>
                  </w: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V3_4</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V3_8 </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V4_2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hořický pískovec, výška odběru od země 60cm</w:t>
                  </w: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V4_4</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V4_8 </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V5_2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hořický pískovec, výška odběru od země 8cm</w:t>
                  </w: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V5_4</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V5_8</w:t>
                  </w:r>
                </w:p>
              </w:tc>
              <w:tc>
                <w:tcPr>
                  <w:tcW w:w="3880" w:type="dxa"/>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r>
            <w:tr w:rsidR="00862742" w:rsidRPr="00862742" w:rsidTr="00330277">
              <w:trPr>
                <w:trHeight w:val="9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A9_vz1_ex</w:t>
                  </w:r>
                </w:p>
              </w:tc>
              <w:tc>
                <w:tcPr>
                  <w:tcW w:w="388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extrakt ze zábalu, pole A9 – kružba výška odběru od země 260 cm </w:t>
                  </w:r>
                </w:p>
              </w:tc>
            </w:tr>
            <w:tr w:rsidR="00862742" w:rsidRPr="00862742" w:rsidTr="00330277">
              <w:trPr>
                <w:trHeight w:val="67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Vzorky byly odebrány vždy z hloubek 0 - 2 cm (Vx-2), 2 - 4 cm (Vx-4), 4 - 8 cm (Vx-8)</w:t>
                  </w:r>
                </w:p>
              </w:tc>
            </w:tr>
            <w:tr w:rsidR="00862742" w:rsidRPr="00330277" w:rsidTr="00330277">
              <w:trPr>
                <w:trHeight w:val="67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6460" w:type="dxa"/>
                    <w:tblCellMar>
                      <w:left w:w="70" w:type="dxa"/>
                      <w:right w:w="70" w:type="dxa"/>
                    </w:tblCellMar>
                    <w:tblLook w:val="04A0" w:firstRow="1" w:lastRow="0" w:firstColumn="1" w:lastColumn="0" w:noHBand="0" w:noVBand="1"/>
                  </w:tblPr>
                  <w:tblGrid>
                    <w:gridCol w:w="3"/>
                    <w:gridCol w:w="1037"/>
                    <w:gridCol w:w="3"/>
                    <w:gridCol w:w="3877"/>
                    <w:gridCol w:w="3"/>
                    <w:gridCol w:w="1540"/>
                  </w:tblGrid>
                  <w:tr w:rsidR="00862742" w:rsidRPr="00862742" w:rsidTr="00330277">
                    <w:trPr>
                      <w:gridBefore w:val="1"/>
                      <w:trHeight w:val="300"/>
                    </w:trPr>
                    <w:tc>
                      <w:tcPr>
                        <w:tcW w:w="4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2742" w:rsidRPr="00862742" w:rsidRDefault="00862742" w:rsidP="00330277">
                        <w:pPr>
                          <w:spacing w:after="0" w:line="240" w:lineRule="auto"/>
                          <w:rPr>
                            <w:rFonts w:eastAsia="Times New Roman" w:cstheme="minorHAnsi"/>
                            <w:b/>
                            <w:lang w:eastAsia="cs-CZ"/>
                          </w:rPr>
                        </w:pPr>
                        <w:hyperlink r:id="rId6" w:anchor="RANGE!#ODKAZ!" w:history="1">
                          <w:r w:rsidRPr="00330277">
                            <w:rPr>
                              <w:rFonts w:eastAsia="Times New Roman" w:cstheme="minorHAnsi"/>
                              <w:b/>
                              <w:lang w:eastAsia="cs-CZ"/>
                            </w:rPr>
                            <w:t>Tab</w:t>
                          </w:r>
                          <w:r w:rsidR="00330277" w:rsidRPr="00330277">
                            <w:rPr>
                              <w:rFonts w:eastAsia="Times New Roman" w:cstheme="minorHAnsi"/>
                              <w:b/>
                              <w:lang w:eastAsia="cs-CZ"/>
                            </w:rPr>
                            <w:t>. 2. Místa odběru vzorků kamene</w:t>
                          </w:r>
                          <w:r w:rsidRPr="00330277">
                            <w:rPr>
                              <w:rFonts w:eastAsia="Times New Roman" w:cstheme="minorHAnsi"/>
                              <w:b/>
                              <w:lang w:eastAsia="cs-CZ"/>
                            </w:rPr>
                            <w:t xml:space="preserve"> první etapa[1]</w:t>
                          </w:r>
                        </w:hyperlink>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62742" w:rsidRPr="00862742" w:rsidRDefault="00862742" w:rsidP="00862742">
                        <w:pPr>
                          <w:spacing w:after="0" w:line="240" w:lineRule="auto"/>
                          <w:rPr>
                            <w:rFonts w:eastAsia="Times New Roman" w:cstheme="minorHAnsi"/>
                            <w:lang w:eastAsia="cs-CZ"/>
                          </w:rPr>
                        </w:pPr>
                        <w:r w:rsidRPr="00862742">
                          <w:rPr>
                            <w:rFonts w:eastAsia="Times New Roman" w:cstheme="minorHAnsi"/>
                            <w:lang w:eastAsia="cs-CZ"/>
                          </w:rPr>
                          <w:t> </w:t>
                        </w:r>
                      </w:p>
                    </w:tc>
                  </w:tr>
                  <w:tr w:rsidR="00862742" w:rsidRPr="00862742" w:rsidTr="00330277">
                    <w:trPr>
                      <w:gridBefore w:val="1"/>
                      <w:trHeight w:val="1215"/>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b/>
                            <w:bCs/>
                            <w:color w:val="000000"/>
                            <w:lang w:eastAsia="cs-CZ"/>
                          </w:rPr>
                        </w:pPr>
                        <w:r w:rsidRPr="00862742">
                          <w:rPr>
                            <w:rFonts w:eastAsia="Times New Roman" w:cstheme="minorHAnsi"/>
                            <w:b/>
                            <w:bCs/>
                            <w:color w:val="000000"/>
                            <w:lang w:eastAsia="cs-CZ"/>
                          </w:rPr>
                          <w:t>Označení vzorku</w:t>
                        </w:r>
                      </w:p>
                    </w:tc>
                    <w:tc>
                      <w:tcPr>
                        <w:tcW w:w="3880" w:type="dxa"/>
                        <w:gridSpan w:val="2"/>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b/>
                            <w:bCs/>
                            <w:color w:val="000000"/>
                            <w:lang w:eastAsia="cs-CZ"/>
                          </w:rPr>
                        </w:pPr>
                        <w:r w:rsidRPr="00862742">
                          <w:rPr>
                            <w:rFonts w:eastAsia="Times New Roman" w:cstheme="minorHAnsi"/>
                            <w:b/>
                            <w:bCs/>
                            <w:color w:val="000000"/>
                            <w:lang w:eastAsia="cs-CZ"/>
                          </w:rPr>
                          <w:t>Popis místa odběru vzorku</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b/>
                            <w:bCs/>
                            <w:color w:val="000000"/>
                            <w:lang w:eastAsia="cs-CZ"/>
                          </w:rPr>
                        </w:pPr>
                        <w:r w:rsidRPr="00862742">
                          <w:rPr>
                            <w:rFonts w:eastAsia="Times New Roman" w:cstheme="minorHAnsi"/>
                            <w:b/>
                            <w:bCs/>
                            <w:color w:val="000000"/>
                            <w:lang w:eastAsia="cs-CZ"/>
                          </w:rPr>
                          <w:t>Srovnatelné s vz. z druhé etapy odsolování</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hořický pískovec, výška odběru od země 5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V5_2</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S2</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V5_4</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S3</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V5_8</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S4</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hořický pískovec, výška odběru od země 58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V4_2</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S5</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V4_4</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S6</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V4_8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S7</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hořický pískovec, výška odběru od země 155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V3_2</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S8</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V3_4</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S9</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V3_8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S10</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hořický pískovec, výška odběru od země 330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V1_2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S11</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V1_4</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S12</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xml:space="preserve">V1_8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S13</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hořický pískovec, výška odběru od země 400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S14</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S15</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S16</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hořický pískovec, výška odběru od země 430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S17</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S18</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S19</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kutnohorský vápenec, výška odběru od země 58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S20</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S21</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S22</w:t>
                        </w:r>
                      </w:p>
                    </w:tc>
                    <w:tc>
                      <w:tcPr>
                        <w:tcW w:w="3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pole A2, kutnohorský vápenec, výška odběru od země 155 cm</w:t>
                        </w: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S23</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S24</w:t>
                        </w:r>
                      </w:p>
                    </w:tc>
                    <w:tc>
                      <w:tcPr>
                        <w:tcW w:w="3880" w:type="dxa"/>
                        <w:gridSpan w:val="2"/>
                        <w:vMerge/>
                        <w:tcBorders>
                          <w:top w:val="nil"/>
                          <w:left w:val="single" w:sz="4" w:space="0" w:color="auto"/>
                          <w:bottom w:val="single" w:sz="4" w:space="0" w:color="auto"/>
                          <w:right w:val="single" w:sz="4" w:space="0" w:color="auto"/>
                        </w:tcBorders>
                        <w:vAlign w:val="center"/>
                        <w:hideMark/>
                      </w:tcPr>
                      <w:p w:rsidR="00862742" w:rsidRPr="00862742" w:rsidRDefault="00862742" w:rsidP="00862742">
                        <w:pPr>
                          <w:spacing w:after="0" w:line="240" w:lineRule="auto"/>
                          <w:rPr>
                            <w:rFonts w:eastAsia="Times New Roman" w:cstheme="minorHAnsi"/>
                            <w:color w:val="000000"/>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862742" w:rsidRPr="00862742" w:rsidTr="00330277">
                    <w:trPr>
                      <w:gridBefore w:val="1"/>
                      <w:trHeight w:val="300"/>
                    </w:trPr>
                    <w:tc>
                      <w:tcPr>
                        <w:tcW w:w="4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2742" w:rsidRPr="00862742" w:rsidRDefault="00862742" w:rsidP="00862742">
                        <w:pPr>
                          <w:spacing w:after="0" w:line="240" w:lineRule="auto"/>
                          <w:rPr>
                            <w:rFonts w:eastAsia="Times New Roman" w:cstheme="minorHAnsi"/>
                            <w:iCs/>
                            <w:color w:val="000000"/>
                            <w:lang w:eastAsia="cs-CZ"/>
                          </w:rPr>
                        </w:pPr>
                        <w:r w:rsidRPr="00862742">
                          <w:rPr>
                            <w:rFonts w:eastAsia="Times New Roman" w:cstheme="minorHAnsi"/>
                            <w:iCs/>
                            <w:color w:val="000000"/>
                            <w:lang w:eastAsia="cs-CZ"/>
                          </w:rPr>
                          <w:t>Skupina vzorků byla odebrána vždy z hloubek 0 - 1,5 cm, 1,5 - 3,5 cm, 3,5 - 7 cm</w:t>
                        </w:r>
                      </w:p>
                    </w:tc>
                    <w:tc>
                      <w:tcPr>
                        <w:tcW w:w="1540" w:type="dxa"/>
                        <w:tcBorders>
                          <w:top w:val="nil"/>
                          <w:left w:val="nil"/>
                          <w:bottom w:val="single" w:sz="4" w:space="0" w:color="auto"/>
                          <w:right w:val="single" w:sz="4" w:space="0" w:color="auto"/>
                        </w:tcBorders>
                        <w:shd w:val="clear" w:color="auto" w:fill="auto"/>
                        <w:vAlign w:val="bottom"/>
                        <w:hideMark/>
                      </w:tcPr>
                      <w:p w:rsidR="00862742" w:rsidRPr="00862742" w:rsidRDefault="00862742" w:rsidP="00862742">
                        <w:pPr>
                          <w:spacing w:after="0" w:line="240" w:lineRule="auto"/>
                          <w:rPr>
                            <w:rFonts w:eastAsia="Times New Roman" w:cstheme="minorHAnsi"/>
                            <w:color w:val="000000"/>
                            <w:lang w:eastAsia="cs-CZ"/>
                          </w:rPr>
                        </w:pPr>
                        <w:r w:rsidRPr="00862742">
                          <w:rPr>
                            <w:rFonts w:eastAsia="Times New Roman" w:cstheme="minorHAnsi"/>
                            <w:color w:val="000000"/>
                            <w:lang w:eastAsia="cs-CZ"/>
                          </w:rPr>
                          <w:t> </w:t>
                        </w:r>
                      </w:p>
                    </w:tc>
                  </w:tr>
                  <w:tr w:rsidR="00330277" w:rsidRPr="00330277" w:rsidTr="00330277">
                    <w:trPr>
                      <w:gridAfter w:val="2"/>
                      <w:trHeight w:val="300"/>
                    </w:trPr>
                    <w:tc>
                      <w:tcPr>
                        <w:tcW w:w="4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b/>
                            <w:iCs/>
                            <w:color w:val="000000"/>
                            <w:lang w:eastAsia="cs-CZ"/>
                          </w:rPr>
                        </w:pPr>
                        <w:r w:rsidRPr="00330277">
                          <w:rPr>
                            <w:rFonts w:eastAsia="Times New Roman" w:cstheme="minorHAnsi"/>
                            <w:b/>
                            <w:iCs/>
                            <w:color w:val="000000"/>
                            <w:lang w:eastAsia="cs-CZ"/>
                          </w:rPr>
                          <w:t>Tab. 3. Místa odběru vzorků ze zábalů v průběhu odsolování – druhá etapa</w:t>
                        </w:r>
                      </w:p>
                    </w:tc>
                  </w:tr>
                  <w:tr w:rsidR="00330277" w:rsidRPr="00330277" w:rsidTr="00330277">
                    <w:trPr>
                      <w:gridAfter w:val="2"/>
                      <w:trHeight w:val="6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Označení vzorku</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Popis místa odběru vzorku</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vz1</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A9, hořický pískovec, výška odběru od země 260 cm</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vz2</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A9, hořický pískovec, výška odběru od země 210 cm</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vz3</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A9, hořický pískovec, výška odběru od země 60 cm</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vz4</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A9, hořický pískovec, výška odběru od země 200 cm</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vz5</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A2, kutnohorský vápenec, výška odběru od země 60 cm</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vz6</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A2, kutnohorský vápenec, výška odběru od země 190 cm</w:t>
                        </w:r>
                      </w:p>
                    </w:tc>
                  </w:tr>
                  <w:tr w:rsidR="00330277" w:rsidRPr="00330277" w:rsidTr="00330277">
                    <w:trPr>
                      <w:gridAfter w:val="2"/>
                      <w:trHeight w:val="900"/>
                    </w:trPr>
                    <w:tc>
                      <w:tcPr>
                        <w:tcW w:w="1040" w:type="dxa"/>
                        <w:gridSpan w:val="2"/>
                        <w:tcBorders>
                          <w:top w:val="nil"/>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vz7</w:t>
                        </w:r>
                      </w:p>
                    </w:tc>
                    <w:tc>
                      <w:tcPr>
                        <w:tcW w:w="3880" w:type="dxa"/>
                        <w:gridSpan w:val="2"/>
                        <w:tcBorders>
                          <w:top w:val="nil"/>
                          <w:left w:val="nil"/>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pole A9, hořický pískovec, výška odběru od země 190 cm</w:t>
                        </w:r>
                      </w:p>
                    </w:tc>
                  </w:tr>
                  <w:tr w:rsidR="00330277" w:rsidRPr="00330277" w:rsidTr="00330277">
                    <w:trPr>
                      <w:gridAfter w:val="2"/>
                      <w:trHeight w:val="1395"/>
                    </w:trPr>
                    <w:tc>
                      <w:tcPr>
                        <w:tcW w:w="4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Vzorky byly vždy odebrány ze stejného místa a podle pořadí zábalu, ze kterého byly odebrány, jsou dále označeny tímto způsobem vzX_X, přičemž první číslo označuje místo odběru a druhé pořadí zábalu.</w:t>
                        </w:r>
                      </w:p>
                    </w:tc>
                  </w:tr>
                </w:tbl>
                <w:p w:rsidR="00862742" w:rsidRPr="00330277" w:rsidRDefault="00862742" w:rsidP="00862742">
                  <w:pPr>
                    <w:spacing w:after="0" w:line="240" w:lineRule="auto"/>
                    <w:rPr>
                      <w:rFonts w:eastAsia="Times New Roman" w:cstheme="minorHAnsi"/>
                      <w:color w:val="000000"/>
                      <w:lang w:eastAsia="cs-CZ"/>
                    </w:rPr>
                  </w:pPr>
                </w:p>
              </w:tc>
            </w:tr>
          </w:tbl>
          <w:p w:rsidR="0022194F" w:rsidRPr="00330277" w:rsidRDefault="0022194F" w:rsidP="008862E7">
            <w:pPr>
              <w:rPr>
                <w:rFonts w:cstheme="minorHAnsi"/>
              </w:rPr>
            </w:pP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Místo odběru foto</w:t>
            </w:r>
          </w:p>
        </w:tc>
        <w:tc>
          <w:tcPr>
            <w:tcW w:w="5454" w:type="dxa"/>
          </w:tcPr>
          <w:p w:rsidR="0022194F" w:rsidRPr="00330277" w:rsidRDefault="0022194F" w:rsidP="008862E7">
            <w:pPr>
              <w:rPr>
                <w:rFonts w:cstheme="minorHAnsi"/>
              </w:rPr>
            </w:pP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Typ díla</w:t>
            </w:r>
          </w:p>
        </w:tc>
        <w:tc>
          <w:tcPr>
            <w:tcW w:w="5454" w:type="dxa"/>
          </w:tcPr>
          <w:p w:rsidR="0022194F" w:rsidRPr="00330277" w:rsidRDefault="00E002B0" w:rsidP="008862E7">
            <w:pPr>
              <w:rPr>
                <w:rFonts w:cstheme="minorHAnsi"/>
              </w:rPr>
            </w:pPr>
            <w:r w:rsidRPr="00330277">
              <w:rPr>
                <w:rFonts w:cstheme="minorHAnsi"/>
              </w:rPr>
              <w:t>Socha</w:t>
            </w: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Typ podložky (v případě vzorků povrchových úprav / barevných vrstev)</w:t>
            </w:r>
          </w:p>
        </w:tc>
        <w:tc>
          <w:tcPr>
            <w:tcW w:w="5454" w:type="dxa"/>
          </w:tcPr>
          <w:p w:rsidR="0022194F" w:rsidRPr="00330277" w:rsidRDefault="00E002B0" w:rsidP="008862E7">
            <w:pPr>
              <w:rPr>
                <w:rFonts w:cstheme="minorHAnsi"/>
              </w:rPr>
            </w:pPr>
            <w:r w:rsidRPr="00330277">
              <w:rPr>
                <w:rFonts w:cstheme="minorHAnsi"/>
              </w:rPr>
              <w:t>Kámen</w:t>
            </w: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Datace</w:t>
            </w:r>
            <w:r w:rsidR="00AA48FC" w:rsidRPr="00330277">
              <w:rPr>
                <w:rFonts w:cstheme="minorHAnsi"/>
                <w:b/>
              </w:rPr>
              <w:t xml:space="preserve"> objektu</w:t>
            </w:r>
          </w:p>
        </w:tc>
        <w:tc>
          <w:tcPr>
            <w:tcW w:w="5454" w:type="dxa"/>
          </w:tcPr>
          <w:p w:rsidR="0022194F" w:rsidRPr="00330277" w:rsidRDefault="0022194F" w:rsidP="008862E7">
            <w:pPr>
              <w:rPr>
                <w:rFonts w:cstheme="minorHAnsi"/>
              </w:rPr>
            </w:pP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Zpracovatel analýzy</w:t>
            </w:r>
          </w:p>
        </w:tc>
        <w:tc>
          <w:tcPr>
            <w:tcW w:w="5454" w:type="dxa"/>
          </w:tcPr>
          <w:p w:rsidR="0022194F" w:rsidRPr="00330277" w:rsidRDefault="00E002B0" w:rsidP="008862E7">
            <w:pPr>
              <w:rPr>
                <w:rFonts w:cstheme="minorHAnsi"/>
              </w:rPr>
            </w:pPr>
            <w:r w:rsidRPr="00330277">
              <w:rPr>
                <w:rFonts w:cstheme="minorHAnsi"/>
              </w:rPr>
              <w:t>Bayer Karol, Macounová Dana</w:t>
            </w:r>
          </w:p>
        </w:tc>
      </w:tr>
      <w:tr w:rsidR="0022194F" w:rsidRPr="00330277" w:rsidTr="00862742">
        <w:tc>
          <w:tcPr>
            <w:tcW w:w="4606" w:type="dxa"/>
          </w:tcPr>
          <w:p w:rsidR="0022194F" w:rsidRPr="00330277" w:rsidRDefault="0022194F" w:rsidP="008862E7">
            <w:pPr>
              <w:rPr>
                <w:rFonts w:cstheme="minorHAnsi"/>
                <w:b/>
              </w:rPr>
            </w:pPr>
            <w:r w:rsidRPr="00330277">
              <w:rPr>
                <w:rFonts w:cstheme="minorHAnsi"/>
                <w:b/>
              </w:rPr>
              <w:t>Datum zpracování zprávy</w:t>
            </w:r>
            <w:r w:rsidR="00AA48FC" w:rsidRPr="00330277">
              <w:rPr>
                <w:rFonts w:cstheme="minorHAnsi"/>
                <w:b/>
              </w:rPr>
              <w:t xml:space="preserve"> k analýze</w:t>
            </w:r>
          </w:p>
        </w:tc>
        <w:tc>
          <w:tcPr>
            <w:tcW w:w="5454" w:type="dxa"/>
          </w:tcPr>
          <w:p w:rsidR="0022194F" w:rsidRPr="00330277" w:rsidRDefault="00E002B0" w:rsidP="008862E7">
            <w:pPr>
              <w:rPr>
                <w:rFonts w:cstheme="minorHAnsi"/>
              </w:rPr>
            </w:pPr>
            <w:r w:rsidRPr="00330277">
              <w:rPr>
                <w:rFonts w:cstheme="minorHAnsi"/>
              </w:rPr>
              <w:t>2. 8. 2011</w:t>
            </w:r>
          </w:p>
        </w:tc>
      </w:tr>
      <w:tr w:rsidR="005A54E0" w:rsidRPr="00330277" w:rsidTr="00862742">
        <w:tc>
          <w:tcPr>
            <w:tcW w:w="4606" w:type="dxa"/>
          </w:tcPr>
          <w:p w:rsidR="005A54E0" w:rsidRPr="00330277" w:rsidRDefault="005A54E0" w:rsidP="008862E7">
            <w:pPr>
              <w:rPr>
                <w:rFonts w:cstheme="minorHAnsi"/>
                <w:b/>
              </w:rPr>
            </w:pPr>
            <w:r w:rsidRPr="00330277">
              <w:rPr>
                <w:rFonts w:cstheme="minorHAnsi"/>
                <w:b/>
              </w:rPr>
              <w:t>Číslo příslušné zprávy v </w:t>
            </w:r>
            <w:r w:rsidR="000A6440" w:rsidRPr="00330277">
              <w:rPr>
                <w:rFonts w:cstheme="minorHAnsi"/>
                <w:b/>
              </w:rPr>
              <w:t>databázi</w:t>
            </w:r>
            <w:r w:rsidRPr="00330277">
              <w:rPr>
                <w:rFonts w:cstheme="minorHAnsi"/>
                <w:b/>
              </w:rPr>
              <w:t xml:space="preserve"> zpráv </w:t>
            </w:r>
          </w:p>
        </w:tc>
        <w:tc>
          <w:tcPr>
            <w:tcW w:w="5454" w:type="dxa"/>
          </w:tcPr>
          <w:p w:rsidR="005A54E0" w:rsidRPr="00330277" w:rsidRDefault="00E002B0" w:rsidP="008862E7">
            <w:pPr>
              <w:rPr>
                <w:rFonts w:cstheme="minorHAnsi"/>
              </w:rPr>
            </w:pPr>
            <w:r w:rsidRPr="00330277">
              <w:rPr>
                <w:rFonts w:cstheme="minorHAnsi"/>
              </w:rPr>
              <w:t>2011_11</w:t>
            </w:r>
          </w:p>
        </w:tc>
      </w:tr>
    </w:tbl>
    <w:p w:rsidR="00AA48FC" w:rsidRPr="00330277"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3558"/>
      </w:tblGrid>
      <w:tr w:rsidR="00AA48FC" w:rsidRPr="00330277" w:rsidTr="00330277">
        <w:tc>
          <w:tcPr>
            <w:tcW w:w="10060" w:type="dxa"/>
          </w:tcPr>
          <w:p w:rsidR="00AA48FC" w:rsidRPr="00330277" w:rsidRDefault="00AA48FC" w:rsidP="008862E7">
            <w:pPr>
              <w:rPr>
                <w:rFonts w:cstheme="minorHAnsi"/>
                <w:b/>
              </w:rPr>
            </w:pPr>
            <w:r w:rsidRPr="00330277">
              <w:rPr>
                <w:rFonts w:cstheme="minorHAnsi"/>
                <w:b/>
              </w:rPr>
              <w:t>Výsledky analýzy</w:t>
            </w:r>
          </w:p>
        </w:tc>
      </w:tr>
      <w:tr w:rsidR="00AA48FC" w:rsidRPr="00330277" w:rsidTr="00330277">
        <w:tc>
          <w:tcPr>
            <w:tcW w:w="10060" w:type="dxa"/>
          </w:tcPr>
          <w:p w:rsidR="00AA48FC" w:rsidRPr="00330277" w:rsidRDefault="00330277" w:rsidP="008862E7">
            <w:pPr>
              <w:rPr>
                <w:rFonts w:cstheme="minorHAnsi"/>
                <w:b/>
              </w:rPr>
            </w:pPr>
            <w:r w:rsidRPr="00330277">
              <w:rPr>
                <w:rFonts w:cstheme="minorHAnsi"/>
                <w:b/>
              </w:rPr>
              <w:t>Tab. 4. Obsah vodorozpustných solí po odsolování – druhá etapa</w:t>
            </w:r>
          </w:p>
          <w:tbl>
            <w:tblPr>
              <w:tblW w:w="11520" w:type="dxa"/>
              <w:tblCellMar>
                <w:left w:w="70" w:type="dxa"/>
                <w:right w:w="70" w:type="dxa"/>
              </w:tblCellMar>
              <w:tblLook w:val="04A0" w:firstRow="1" w:lastRow="0" w:firstColumn="1" w:lastColumn="0" w:noHBand="0" w:noVBand="1"/>
            </w:tblPr>
            <w:tblGrid>
              <w:gridCol w:w="1000"/>
              <w:gridCol w:w="2840"/>
              <w:gridCol w:w="480"/>
              <w:gridCol w:w="2760"/>
              <w:gridCol w:w="480"/>
              <w:gridCol w:w="3480"/>
              <w:gridCol w:w="480"/>
            </w:tblGrid>
            <w:tr w:rsidR="00330277" w:rsidRPr="00330277" w:rsidTr="00330277">
              <w:trPr>
                <w:trHeight w:val="315"/>
              </w:trPr>
              <w:tc>
                <w:tcPr>
                  <w:tcW w:w="100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Vz.č.</w:t>
                  </w:r>
                </w:p>
              </w:tc>
              <w:tc>
                <w:tcPr>
                  <w:tcW w:w="332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b/>
                      <w:bCs/>
                      <w:color w:val="000000"/>
                      <w:lang w:eastAsia="cs-CZ"/>
                    </w:rPr>
                  </w:pPr>
                  <w:r w:rsidRPr="00330277">
                    <w:rPr>
                      <w:rFonts w:eastAsia="Times New Roman" w:cstheme="minorHAnsi"/>
                      <w:b/>
                      <w:bCs/>
                      <w:color w:val="000000"/>
                      <w:lang w:eastAsia="cs-CZ"/>
                    </w:rPr>
                    <w:t>Sírany</w:t>
                  </w:r>
                </w:p>
              </w:tc>
              <w:tc>
                <w:tcPr>
                  <w:tcW w:w="324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b/>
                      <w:bCs/>
                      <w:color w:val="000000"/>
                      <w:lang w:eastAsia="cs-CZ"/>
                    </w:rPr>
                  </w:pPr>
                  <w:r w:rsidRPr="00330277">
                    <w:rPr>
                      <w:rFonts w:eastAsia="Times New Roman" w:cstheme="minorHAnsi"/>
                      <w:b/>
                      <w:bCs/>
                      <w:color w:val="000000"/>
                      <w:lang w:eastAsia="cs-CZ"/>
                    </w:rPr>
                    <w:t>Chloridy</w:t>
                  </w:r>
                </w:p>
              </w:tc>
              <w:tc>
                <w:tcPr>
                  <w:tcW w:w="396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b/>
                      <w:bCs/>
                      <w:color w:val="000000"/>
                      <w:lang w:eastAsia="cs-CZ"/>
                    </w:rPr>
                  </w:pPr>
                  <w:r w:rsidRPr="00330277">
                    <w:rPr>
                      <w:rFonts w:eastAsia="Times New Roman" w:cstheme="minorHAnsi"/>
                      <w:b/>
                      <w:bCs/>
                      <w:color w:val="000000"/>
                      <w:lang w:eastAsia="cs-CZ"/>
                    </w:rPr>
                    <w:t>Dusičnany</w:t>
                  </w:r>
                </w:p>
              </w:tc>
            </w:tr>
            <w:tr w:rsidR="00330277" w:rsidRPr="00330277" w:rsidTr="00330277">
              <w:trPr>
                <w:trHeight w:val="33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3320" w:type="dxa"/>
                  <w:gridSpan w:val="2"/>
                  <w:vMerge/>
                  <w:tcBorders>
                    <w:top w:val="single" w:sz="8" w:space="0" w:color="auto"/>
                    <w:left w:val="single" w:sz="8" w:space="0" w:color="auto"/>
                    <w:bottom w:val="single" w:sz="8" w:space="0" w:color="000000"/>
                    <w:right w:val="single" w:sz="8" w:space="0" w:color="000000"/>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3240" w:type="dxa"/>
                  <w:gridSpan w:val="2"/>
                  <w:vMerge/>
                  <w:tcBorders>
                    <w:top w:val="single" w:sz="8" w:space="0" w:color="auto"/>
                    <w:left w:val="single" w:sz="8" w:space="0" w:color="auto"/>
                    <w:bottom w:val="single" w:sz="8" w:space="0" w:color="000000"/>
                    <w:right w:val="single" w:sz="8" w:space="0" w:color="000000"/>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3960" w:type="dxa"/>
                  <w:gridSpan w:val="2"/>
                  <w:vMerge/>
                  <w:tcBorders>
                    <w:top w:val="single" w:sz="8" w:space="0" w:color="auto"/>
                    <w:left w:val="single" w:sz="8" w:space="0" w:color="auto"/>
                    <w:bottom w:val="single" w:sz="8" w:space="0" w:color="000000"/>
                    <w:right w:val="single" w:sz="8" w:space="0" w:color="000000"/>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r>
            <w:tr w:rsidR="00330277" w:rsidRPr="00330277" w:rsidTr="00330277">
              <w:trPr>
                <w:trHeight w:val="33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28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X (%hm.)</w:t>
                  </w:r>
                </w:p>
              </w:tc>
              <w:tc>
                <w:tcPr>
                  <w:tcW w:w="48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C (mmol/kg)</w:t>
                  </w:r>
                </w:p>
              </w:tc>
              <w:tc>
                <w:tcPr>
                  <w:tcW w:w="276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X (%hm.)</w:t>
                  </w:r>
                </w:p>
              </w:tc>
              <w:tc>
                <w:tcPr>
                  <w:tcW w:w="48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C (mmol/kg)</w:t>
                  </w:r>
                </w:p>
              </w:tc>
              <w:tc>
                <w:tcPr>
                  <w:tcW w:w="348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X (%hm.)</w:t>
                  </w:r>
                </w:p>
              </w:tc>
              <w:tc>
                <w:tcPr>
                  <w:tcW w:w="48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C (mmol/kg)</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1_2</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1_4</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1_8</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2_2</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color w:val="FF0000"/>
                      <w:lang w:eastAsia="cs-CZ"/>
                    </w:rPr>
                    <w:t>0,41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color w:val="FF0000"/>
                      <w:lang w:eastAsia="cs-CZ"/>
                    </w:rPr>
                    <w:t>42</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0,02</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3</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2_4</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0,03</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2_8</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3_2</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color w:val="FF0000"/>
                      <w:lang w:eastAsia="cs-CZ"/>
                    </w:rPr>
                    <w:t>0,13</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color w:val="FF0000"/>
                      <w:lang w:eastAsia="cs-CZ"/>
                    </w:rPr>
                    <w:t>13</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3_4</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3_8</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4_2</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2,5</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color w:val="FF0000"/>
                      <w:lang w:eastAsia="cs-CZ"/>
                    </w:rPr>
                    <w:t>0,13</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color w:val="FF0000"/>
                      <w:lang w:eastAsia="cs-CZ"/>
                    </w:rPr>
                    <w:t>26</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4_4</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0,03</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4_8</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0,04</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9</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5_2</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0,02</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5_4</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color w:val="000000"/>
                      <w:lang w:eastAsia="cs-CZ"/>
                    </w:rPr>
                    <w:t>5_8</w:t>
                  </w:r>
                </w:p>
              </w:tc>
              <w:tc>
                <w:tcPr>
                  <w:tcW w:w="28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276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&lt;2</w:t>
                  </w:r>
                </w:p>
              </w:tc>
              <w:tc>
                <w:tcPr>
                  <w:tcW w:w="3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0,01</w:t>
                  </w:r>
                </w:p>
              </w:tc>
              <w:tc>
                <w:tcPr>
                  <w:tcW w:w="48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2</w:t>
                  </w:r>
                </w:p>
              </w:tc>
            </w:tr>
          </w:tbl>
          <w:p w:rsidR="00330277" w:rsidRPr="00330277" w:rsidRDefault="00330277" w:rsidP="008862E7">
            <w:pPr>
              <w:rPr>
                <w:rFonts w:cstheme="minorHAnsi"/>
                <w:b/>
              </w:rPr>
            </w:pPr>
          </w:p>
          <w:p w:rsidR="00330277" w:rsidRPr="00330277" w:rsidRDefault="00330277" w:rsidP="00330277">
            <w:pPr>
              <w:rPr>
                <w:rFonts w:cstheme="minorHAnsi"/>
                <w:i/>
              </w:rPr>
            </w:pPr>
            <w:r w:rsidRPr="00330277">
              <w:rPr>
                <w:rFonts w:cstheme="minorHAnsi"/>
                <w:i/>
              </w:rPr>
              <w:t xml:space="preserve">Hodnoty uvedené v tabulce červeným písmem lze z hlediska obsahu vodorozpustných solí v minerálních materiálech hodnotit jako zvýšené. </w:t>
            </w:r>
          </w:p>
          <w:p w:rsidR="00330277" w:rsidRPr="00330277" w:rsidRDefault="00330277" w:rsidP="008862E7">
            <w:pPr>
              <w:rPr>
                <w:rFonts w:cstheme="minorHAnsi"/>
                <w:b/>
              </w:rPr>
            </w:pPr>
          </w:p>
          <w:p w:rsidR="00862742" w:rsidRPr="00330277" w:rsidRDefault="00330277" w:rsidP="008862E7">
            <w:pPr>
              <w:rPr>
                <w:rFonts w:cstheme="minorHAnsi"/>
              </w:rPr>
            </w:pPr>
            <w:r w:rsidRPr="00330277">
              <w:rPr>
                <w:rFonts w:cstheme="minorHAnsi"/>
                <w:b/>
              </w:rPr>
              <w:t>Tab. 5. Obsah vodorozpustných solí před odsolování – první etapa</w:t>
            </w:r>
            <w:r w:rsidRPr="00330277">
              <w:rPr>
                <w:rStyle w:val="Znakapoznpodarou"/>
                <w:rFonts w:cstheme="minorHAnsi"/>
                <w:b/>
              </w:rPr>
              <w:footnoteReference w:id="1"/>
            </w:r>
          </w:p>
          <w:tbl>
            <w:tblPr>
              <w:tblW w:w="10080" w:type="dxa"/>
              <w:tblCellMar>
                <w:left w:w="70" w:type="dxa"/>
                <w:right w:w="70" w:type="dxa"/>
              </w:tblCellMar>
              <w:tblLook w:val="04A0" w:firstRow="1" w:lastRow="0" w:firstColumn="1" w:lastColumn="0" w:noHBand="0" w:noVBand="1"/>
            </w:tblPr>
            <w:tblGrid>
              <w:gridCol w:w="1000"/>
              <w:gridCol w:w="1500"/>
              <w:gridCol w:w="1340"/>
              <w:gridCol w:w="1340"/>
              <w:gridCol w:w="1420"/>
              <w:gridCol w:w="1740"/>
              <w:gridCol w:w="1740"/>
            </w:tblGrid>
            <w:tr w:rsidR="00330277" w:rsidRPr="00330277" w:rsidTr="00330277">
              <w:trPr>
                <w:trHeight w:val="330"/>
              </w:trPr>
              <w:tc>
                <w:tcPr>
                  <w:tcW w:w="1000" w:type="dxa"/>
                  <w:tcBorders>
                    <w:top w:val="nil"/>
                    <w:left w:val="nil"/>
                    <w:bottom w:val="nil"/>
                    <w:right w:val="nil"/>
                  </w:tcBorders>
                  <w:shd w:val="clear" w:color="auto" w:fill="auto"/>
                  <w:noWrap/>
                  <w:vAlign w:val="center"/>
                  <w:hideMark/>
                </w:tcPr>
                <w:p w:rsidR="00330277" w:rsidRPr="00330277" w:rsidRDefault="00330277" w:rsidP="00330277">
                  <w:pPr>
                    <w:spacing w:after="0" w:line="240" w:lineRule="auto"/>
                    <w:rPr>
                      <w:rFonts w:eastAsia="Times New Roman" w:cstheme="minorHAnsi"/>
                      <w:lang w:eastAsia="cs-CZ"/>
                    </w:rPr>
                  </w:pPr>
                </w:p>
              </w:tc>
              <w:tc>
                <w:tcPr>
                  <w:tcW w:w="1500" w:type="dxa"/>
                  <w:tcBorders>
                    <w:top w:val="nil"/>
                    <w:left w:val="nil"/>
                    <w:bottom w:val="nil"/>
                    <w:right w:val="nil"/>
                  </w:tcBorders>
                  <w:shd w:val="clear" w:color="auto" w:fill="auto"/>
                  <w:noWrap/>
                  <w:vAlign w:val="bottom"/>
                  <w:hideMark/>
                </w:tcPr>
                <w:p w:rsidR="00330277" w:rsidRPr="00330277" w:rsidRDefault="00330277" w:rsidP="00330277">
                  <w:pPr>
                    <w:spacing w:after="0" w:line="240" w:lineRule="auto"/>
                    <w:rPr>
                      <w:rFonts w:eastAsia="Times New Roman" w:cstheme="minorHAnsi"/>
                      <w:lang w:eastAsia="cs-CZ"/>
                    </w:rPr>
                  </w:pPr>
                </w:p>
              </w:tc>
              <w:tc>
                <w:tcPr>
                  <w:tcW w:w="1340" w:type="dxa"/>
                  <w:tcBorders>
                    <w:top w:val="nil"/>
                    <w:left w:val="nil"/>
                    <w:bottom w:val="nil"/>
                    <w:right w:val="nil"/>
                  </w:tcBorders>
                  <w:shd w:val="clear" w:color="auto" w:fill="auto"/>
                  <w:noWrap/>
                  <w:vAlign w:val="bottom"/>
                  <w:hideMark/>
                </w:tcPr>
                <w:p w:rsidR="00330277" w:rsidRPr="00330277" w:rsidRDefault="00330277" w:rsidP="00330277">
                  <w:pPr>
                    <w:spacing w:after="0" w:line="240" w:lineRule="auto"/>
                    <w:rPr>
                      <w:rFonts w:eastAsia="Times New Roman" w:cstheme="minorHAnsi"/>
                      <w:lang w:eastAsia="cs-CZ"/>
                    </w:rPr>
                  </w:pPr>
                </w:p>
              </w:tc>
              <w:tc>
                <w:tcPr>
                  <w:tcW w:w="1340" w:type="dxa"/>
                  <w:tcBorders>
                    <w:top w:val="nil"/>
                    <w:left w:val="nil"/>
                    <w:bottom w:val="nil"/>
                    <w:right w:val="nil"/>
                  </w:tcBorders>
                  <w:shd w:val="clear" w:color="auto" w:fill="auto"/>
                  <w:noWrap/>
                  <w:vAlign w:val="bottom"/>
                  <w:hideMark/>
                </w:tcPr>
                <w:p w:rsidR="00330277" w:rsidRPr="00330277" w:rsidRDefault="00330277" w:rsidP="00330277">
                  <w:pPr>
                    <w:spacing w:after="0" w:line="240" w:lineRule="auto"/>
                    <w:rPr>
                      <w:rFonts w:eastAsia="Times New Roman" w:cstheme="minorHAnsi"/>
                      <w:lang w:eastAsia="cs-CZ"/>
                    </w:rPr>
                  </w:pPr>
                </w:p>
              </w:tc>
              <w:tc>
                <w:tcPr>
                  <w:tcW w:w="1420" w:type="dxa"/>
                  <w:tcBorders>
                    <w:top w:val="nil"/>
                    <w:left w:val="nil"/>
                    <w:bottom w:val="nil"/>
                    <w:right w:val="nil"/>
                  </w:tcBorders>
                  <w:shd w:val="clear" w:color="auto" w:fill="auto"/>
                  <w:noWrap/>
                  <w:vAlign w:val="bottom"/>
                  <w:hideMark/>
                </w:tcPr>
                <w:p w:rsidR="00330277" w:rsidRPr="00330277" w:rsidRDefault="00330277" w:rsidP="00330277">
                  <w:pPr>
                    <w:spacing w:after="0" w:line="240" w:lineRule="auto"/>
                    <w:rPr>
                      <w:rFonts w:eastAsia="Times New Roman" w:cstheme="minorHAnsi"/>
                      <w:lang w:eastAsia="cs-CZ"/>
                    </w:rPr>
                  </w:pPr>
                </w:p>
              </w:tc>
              <w:tc>
                <w:tcPr>
                  <w:tcW w:w="1740" w:type="dxa"/>
                  <w:tcBorders>
                    <w:top w:val="nil"/>
                    <w:left w:val="nil"/>
                    <w:bottom w:val="nil"/>
                    <w:right w:val="nil"/>
                  </w:tcBorders>
                  <w:shd w:val="clear" w:color="auto" w:fill="auto"/>
                  <w:noWrap/>
                  <w:vAlign w:val="bottom"/>
                  <w:hideMark/>
                </w:tcPr>
                <w:p w:rsidR="00330277" w:rsidRPr="00330277" w:rsidRDefault="00330277" w:rsidP="00330277">
                  <w:pPr>
                    <w:spacing w:after="0" w:line="240" w:lineRule="auto"/>
                    <w:rPr>
                      <w:rFonts w:eastAsia="Times New Roman" w:cstheme="minorHAnsi"/>
                      <w:lang w:eastAsia="cs-CZ"/>
                    </w:rPr>
                  </w:pPr>
                </w:p>
              </w:tc>
              <w:tc>
                <w:tcPr>
                  <w:tcW w:w="1740" w:type="dxa"/>
                  <w:tcBorders>
                    <w:top w:val="nil"/>
                    <w:left w:val="nil"/>
                    <w:bottom w:val="nil"/>
                    <w:right w:val="nil"/>
                  </w:tcBorders>
                  <w:shd w:val="clear" w:color="auto" w:fill="auto"/>
                  <w:noWrap/>
                  <w:vAlign w:val="bottom"/>
                  <w:hideMark/>
                </w:tcPr>
                <w:p w:rsidR="00330277" w:rsidRPr="00330277" w:rsidRDefault="00330277" w:rsidP="00330277">
                  <w:pPr>
                    <w:spacing w:after="0" w:line="240" w:lineRule="auto"/>
                    <w:rPr>
                      <w:rFonts w:eastAsia="Times New Roman" w:cstheme="minorHAnsi"/>
                      <w:lang w:eastAsia="cs-CZ"/>
                    </w:rPr>
                  </w:pPr>
                </w:p>
              </w:tc>
            </w:tr>
            <w:tr w:rsidR="00330277" w:rsidRPr="00330277" w:rsidTr="00330277">
              <w:trPr>
                <w:trHeight w:val="315"/>
              </w:trPr>
              <w:tc>
                <w:tcPr>
                  <w:tcW w:w="1000" w:type="dxa"/>
                  <w:vMerge w:val="restart"/>
                  <w:tcBorders>
                    <w:top w:val="single" w:sz="8" w:space="0" w:color="auto"/>
                    <w:left w:val="single" w:sz="8" w:space="0" w:color="auto"/>
                    <w:bottom w:val="single" w:sz="8" w:space="0" w:color="000000"/>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Vz.č.</w:t>
                  </w:r>
                </w:p>
              </w:tc>
              <w:tc>
                <w:tcPr>
                  <w:tcW w:w="284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b/>
                      <w:bCs/>
                      <w:color w:val="000000"/>
                      <w:lang w:eastAsia="cs-CZ"/>
                    </w:rPr>
                  </w:pPr>
                  <w:r w:rsidRPr="00330277">
                    <w:rPr>
                      <w:rFonts w:eastAsia="Times New Roman" w:cstheme="minorHAnsi"/>
                      <w:b/>
                      <w:bCs/>
                      <w:color w:val="000000"/>
                      <w:lang w:eastAsia="cs-CZ"/>
                    </w:rPr>
                    <w:t>Sírany</w:t>
                  </w:r>
                </w:p>
              </w:tc>
              <w:tc>
                <w:tcPr>
                  <w:tcW w:w="276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b/>
                      <w:bCs/>
                      <w:color w:val="000000"/>
                      <w:lang w:eastAsia="cs-CZ"/>
                    </w:rPr>
                  </w:pPr>
                  <w:r w:rsidRPr="00330277">
                    <w:rPr>
                      <w:rFonts w:eastAsia="Times New Roman" w:cstheme="minorHAnsi"/>
                      <w:b/>
                      <w:bCs/>
                      <w:color w:val="000000"/>
                      <w:lang w:eastAsia="cs-CZ"/>
                    </w:rPr>
                    <w:t>Chloridy</w:t>
                  </w:r>
                </w:p>
              </w:tc>
              <w:tc>
                <w:tcPr>
                  <w:tcW w:w="3480" w:type="dxa"/>
                  <w:gridSpan w:val="2"/>
                  <w:vMerge w:val="restart"/>
                  <w:tcBorders>
                    <w:top w:val="single" w:sz="8" w:space="0" w:color="auto"/>
                    <w:left w:val="single" w:sz="8" w:space="0" w:color="auto"/>
                    <w:bottom w:val="single" w:sz="8" w:space="0" w:color="000000"/>
                    <w:right w:val="single" w:sz="8" w:space="0" w:color="000000"/>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b/>
                      <w:bCs/>
                      <w:color w:val="000000"/>
                      <w:lang w:eastAsia="cs-CZ"/>
                    </w:rPr>
                  </w:pPr>
                  <w:r w:rsidRPr="00330277">
                    <w:rPr>
                      <w:rFonts w:eastAsia="Times New Roman" w:cstheme="minorHAnsi"/>
                      <w:b/>
                      <w:bCs/>
                      <w:color w:val="000000"/>
                      <w:lang w:eastAsia="cs-CZ"/>
                    </w:rPr>
                    <w:t>Dusičnany</w:t>
                  </w:r>
                </w:p>
              </w:tc>
            </w:tr>
            <w:tr w:rsidR="00330277" w:rsidRPr="00330277" w:rsidTr="00330277">
              <w:trPr>
                <w:trHeight w:val="33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2840" w:type="dxa"/>
                  <w:gridSpan w:val="2"/>
                  <w:vMerge/>
                  <w:tcBorders>
                    <w:top w:val="single" w:sz="8" w:space="0" w:color="auto"/>
                    <w:left w:val="single" w:sz="8" w:space="0" w:color="auto"/>
                    <w:bottom w:val="single" w:sz="8" w:space="0" w:color="000000"/>
                    <w:right w:val="single" w:sz="8" w:space="0" w:color="000000"/>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2760" w:type="dxa"/>
                  <w:gridSpan w:val="2"/>
                  <w:vMerge/>
                  <w:tcBorders>
                    <w:top w:val="single" w:sz="8" w:space="0" w:color="auto"/>
                    <w:left w:val="single" w:sz="8" w:space="0" w:color="auto"/>
                    <w:bottom w:val="single" w:sz="8" w:space="0" w:color="000000"/>
                    <w:right w:val="single" w:sz="8" w:space="0" w:color="000000"/>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3480" w:type="dxa"/>
                  <w:gridSpan w:val="2"/>
                  <w:vMerge/>
                  <w:tcBorders>
                    <w:top w:val="single" w:sz="8" w:space="0" w:color="auto"/>
                    <w:left w:val="single" w:sz="8" w:space="0" w:color="auto"/>
                    <w:bottom w:val="single" w:sz="8" w:space="0" w:color="000000"/>
                    <w:right w:val="single" w:sz="8" w:space="0" w:color="000000"/>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r>
            <w:tr w:rsidR="00330277" w:rsidRPr="00330277" w:rsidTr="00330277">
              <w:trPr>
                <w:trHeight w:val="33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330277" w:rsidRPr="00330277" w:rsidRDefault="00330277" w:rsidP="00330277">
                  <w:pPr>
                    <w:spacing w:after="0" w:line="240" w:lineRule="auto"/>
                    <w:rPr>
                      <w:rFonts w:eastAsia="Times New Roman" w:cstheme="minorHAnsi"/>
                      <w:b/>
                      <w:bCs/>
                      <w:color w:val="000000"/>
                      <w:lang w:eastAsia="cs-CZ"/>
                    </w:rPr>
                  </w:pPr>
                </w:p>
              </w:tc>
              <w:tc>
                <w:tcPr>
                  <w:tcW w:w="150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X (%hm.)</w:t>
                  </w:r>
                </w:p>
              </w:tc>
              <w:tc>
                <w:tcPr>
                  <w:tcW w:w="13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C (mmol/kg)</w:t>
                  </w:r>
                </w:p>
              </w:tc>
              <w:tc>
                <w:tcPr>
                  <w:tcW w:w="13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X (%hm.)</w:t>
                  </w:r>
                </w:p>
              </w:tc>
              <w:tc>
                <w:tcPr>
                  <w:tcW w:w="142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C (mmol/kg)</w:t>
                  </w:r>
                </w:p>
              </w:tc>
              <w:tc>
                <w:tcPr>
                  <w:tcW w:w="17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X (%hm.)</w:t>
                  </w:r>
                </w:p>
              </w:tc>
              <w:tc>
                <w:tcPr>
                  <w:tcW w:w="17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jc w:val="center"/>
                    <w:rPr>
                      <w:rFonts w:eastAsia="Times New Roman" w:cstheme="minorHAnsi"/>
                      <w:color w:val="000000"/>
                      <w:lang w:eastAsia="cs-CZ"/>
                    </w:rPr>
                  </w:pPr>
                  <w:r w:rsidRPr="00330277">
                    <w:rPr>
                      <w:rFonts w:eastAsia="Times New Roman" w:cstheme="minorHAnsi"/>
                      <w:bCs/>
                      <w:color w:val="000000"/>
                      <w:lang w:eastAsia="cs-CZ"/>
                    </w:rPr>
                    <w:t>C (mmol/kg)</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5</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0,52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83</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S2</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0,24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39</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S3</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3</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0,14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22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0,06</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17</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0,65</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105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0,03</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8</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0,55</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88</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0,08</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14</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S7</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0,06</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18</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0,6</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97</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S8</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0,04</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10</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0,22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35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S9</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7</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33</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S10</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0,05</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0,54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87</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S11</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0,06</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16</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0,44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70</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S12</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0,06</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16</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0,52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84</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S13</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0,12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20</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3</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1</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0,06</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10</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S17</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3</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0,03</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S18</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3</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S19</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0,13</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22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S20</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5</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2</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S21</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S22</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6</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0,59</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95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S23</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0,02</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6</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0,18</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29</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S24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color w:val="000000"/>
                      <w:lang w:eastAsia="cs-CZ"/>
                    </w:rPr>
                    <w:t>&lt;1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0,01</w:t>
                  </w:r>
                </w:p>
              </w:tc>
              <w:tc>
                <w:tcPr>
                  <w:tcW w:w="142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000000"/>
                      <w:lang w:eastAsia="cs-CZ"/>
                    </w:rPr>
                  </w:pPr>
                  <w:r w:rsidRPr="00330277">
                    <w:rPr>
                      <w:rFonts w:eastAsia="Times New Roman" w:cstheme="minorHAnsi"/>
                      <w:bCs/>
                      <w:i/>
                      <w:iCs/>
                      <w:color w:val="000000"/>
                      <w:lang w:eastAsia="cs-CZ"/>
                    </w:rPr>
                    <w:t>4</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FF0000"/>
                      <w:lang w:eastAsia="cs-CZ"/>
                    </w:rPr>
                  </w:pPr>
                  <w:r w:rsidRPr="00330277">
                    <w:rPr>
                      <w:rFonts w:eastAsia="Times New Roman" w:cstheme="minorHAnsi"/>
                      <w:bCs/>
                      <w:color w:val="FF0000"/>
                      <w:lang w:eastAsia="cs-CZ"/>
                    </w:rPr>
                    <w:t>0,1</w:t>
                  </w:r>
                </w:p>
              </w:tc>
              <w:tc>
                <w:tcPr>
                  <w:tcW w:w="17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i/>
                      <w:iCs/>
                      <w:color w:val="FF0000"/>
                      <w:lang w:eastAsia="cs-CZ"/>
                    </w:rPr>
                  </w:pPr>
                  <w:r w:rsidRPr="00330277">
                    <w:rPr>
                      <w:rFonts w:eastAsia="Times New Roman" w:cstheme="minorHAnsi"/>
                      <w:bCs/>
                      <w:i/>
                      <w:iCs/>
                      <w:color w:val="FF0000"/>
                      <w:lang w:eastAsia="cs-CZ"/>
                    </w:rPr>
                    <w:t>16</w:t>
                  </w:r>
                </w:p>
              </w:tc>
            </w:tr>
          </w:tbl>
          <w:p w:rsidR="00330277" w:rsidRPr="00330277" w:rsidRDefault="00330277" w:rsidP="00330277">
            <w:pPr>
              <w:rPr>
                <w:rFonts w:cstheme="minorHAnsi"/>
                <w:i/>
              </w:rPr>
            </w:pPr>
            <w:r w:rsidRPr="00330277">
              <w:rPr>
                <w:rFonts w:cstheme="minorHAnsi"/>
                <w:i/>
              </w:rPr>
              <w:t xml:space="preserve">Hodnoty uvedené v tabulce červeným písmem lze z hlediska obsahu vodorozpustných solí v minerálních materiálech hodnotit jako zvýšené. </w:t>
            </w:r>
          </w:p>
          <w:p w:rsidR="00862742" w:rsidRPr="00330277" w:rsidRDefault="00862742" w:rsidP="008862E7">
            <w:pPr>
              <w:rPr>
                <w:rFonts w:cstheme="minorHAnsi"/>
              </w:rPr>
            </w:pPr>
          </w:p>
          <w:p w:rsidR="00330277" w:rsidRPr="00330277" w:rsidRDefault="00330277" w:rsidP="00330277">
            <w:pPr>
              <w:rPr>
                <w:rFonts w:cstheme="minorHAnsi"/>
                <w:b/>
                <w:color w:val="000000"/>
              </w:rPr>
            </w:pPr>
            <w:r w:rsidRPr="00330277">
              <w:rPr>
                <w:rFonts w:cstheme="minorHAnsi"/>
                <w:b/>
                <w:color w:val="000000"/>
              </w:rPr>
              <w:t>Tab. 6. Obsah vodorozpustných solí v obkladech v průběhu odsolování – druhá etapa</w:t>
            </w:r>
          </w:p>
          <w:tbl>
            <w:tblPr>
              <w:tblW w:w="5180" w:type="dxa"/>
              <w:tblCellMar>
                <w:left w:w="70" w:type="dxa"/>
                <w:right w:w="70" w:type="dxa"/>
              </w:tblCellMar>
              <w:tblLook w:val="04A0" w:firstRow="1" w:lastRow="0" w:firstColumn="1" w:lastColumn="0" w:noHBand="0" w:noVBand="1"/>
            </w:tblPr>
            <w:tblGrid>
              <w:gridCol w:w="1000"/>
              <w:gridCol w:w="1500"/>
              <w:gridCol w:w="1340"/>
              <w:gridCol w:w="1340"/>
            </w:tblGrid>
            <w:tr w:rsidR="00330277" w:rsidRPr="00330277" w:rsidTr="00330277">
              <w:trPr>
                <w:trHeight w:val="330"/>
              </w:trPr>
              <w:tc>
                <w:tcPr>
                  <w:tcW w:w="100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 </w:t>
                  </w:r>
                </w:p>
              </w:tc>
              <w:tc>
                <w:tcPr>
                  <w:tcW w:w="1500" w:type="dxa"/>
                  <w:tcBorders>
                    <w:top w:val="single" w:sz="8" w:space="0" w:color="auto"/>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Sírany</w:t>
                  </w:r>
                </w:p>
              </w:tc>
              <w:tc>
                <w:tcPr>
                  <w:tcW w:w="1340" w:type="dxa"/>
                  <w:tcBorders>
                    <w:top w:val="single" w:sz="8" w:space="0" w:color="auto"/>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Chloridy</w:t>
                  </w:r>
                </w:p>
              </w:tc>
              <w:tc>
                <w:tcPr>
                  <w:tcW w:w="1340" w:type="dxa"/>
                  <w:tcBorders>
                    <w:top w:val="single" w:sz="8" w:space="0" w:color="auto"/>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Dusičnany</w:t>
                  </w:r>
                </w:p>
              </w:tc>
            </w:tr>
            <w:tr w:rsidR="00330277" w:rsidRPr="00330277" w:rsidTr="00330277">
              <w:trPr>
                <w:trHeight w:val="375"/>
              </w:trPr>
              <w:tc>
                <w:tcPr>
                  <w:tcW w:w="1000" w:type="dxa"/>
                  <w:tcBorders>
                    <w:top w:val="nil"/>
                    <w:left w:val="single" w:sz="8" w:space="0" w:color="auto"/>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 xml:space="preserve">vzorek </w:t>
                  </w:r>
                </w:p>
              </w:tc>
              <w:tc>
                <w:tcPr>
                  <w:tcW w:w="150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c</w:t>
                  </w:r>
                  <w:r w:rsidRPr="00330277">
                    <w:rPr>
                      <w:rFonts w:eastAsia="Times New Roman" w:cstheme="minorHAnsi"/>
                      <w:color w:val="000000"/>
                      <w:vertAlign w:val="subscript"/>
                      <w:lang w:eastAsia="cs-CZ"/>
                    </w:rPr>
                    <w:t>(SO4)2</w:t>
                  </w:r>
                  <w:r w:rsidRPr="00330277">
                    <w:rPr>
                      <w:rFonts w:eastAsia="Times New Roman" w:cstheme="minorHAnsi"/>
                      <w:color w:val="000000"/>
                      <w:lang w:eastAsia="cs-CZ"/>
                    </w:rPr>
                    <w:t>- (g.m</w:t>
                  </w:r>
                  <w:r w:rsidRPr="00330277">
                    <w:rPr>
                      <w:rFonts w:eastAsia="Times New Roman" w:cstheme="minorHAnsi"/>
                      <w:color w:val="000000"/>
                      <w:vertAlign w:val="superscript"/>
                      <w:lang w:eastAsia="cs-CZ"/>
                    </w:rPr>
                    <w:t>-2</w:t>
                  </w:r>
                  <w:r w:rsidRPr="00330277">
                    <w:rPr>
                      <w:rFonts w:eastAsia="Times New Roman" w:cstheme="minorHAnsi"/>
                      <w:color w:val="000000"/>
                      <w:lang w:eastAsia="cs-CZ"/>
                    </w:rPr>
                    <w:t>)</w:t>
                  </w:r>
                </w:p>
              </w:tc>
              <w:tc>
                <w:tcPr>
                  <w:tcW w:w="13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c</w:t>
                  </w:r>
                  <w:r w:rsidRPr="00330277">
                    <w:rPr>
                      <w:rFonts w:eastAsia="Times New Roman" w:cstheme="minorHAnsi"/>
                      <w:color w:val="000000"/>
                      <w:vertAlign w:val="subscript"/>
                      <w:lang w:eastAsia="cs-CZ"/>
                    </w:rPr>
                    <w:t>Cl-</w:t>
                  </w:r>
                  <w:r w:rsidRPr="00330277">
                    <w:rPr>
                      <w:rFonts w:eastAsia="Times New Roman" w:cstheme="minorHAnsi"/>
                      <w:color w:val="000000"/>
                      <w:lang w:eastAsia="cs-CZ"/>
                    </w:rPr>
                    <w:t xml:space="preserve"> (g.m</w:t>
                  </w:r>
                  <w:r w:rsidRPr="00330277">
                    <w:rPr>
                      <w:rFonts w:eastAsia="Times New Roman" w:cstheme="minorHAnsi"/>
                      <w:color w:val="000000"/>
                      <w:vertAlign w:val="superscript"/>
                      <w:lang w:eastAsia="cs-CZ"/>
                    </w:rPr>
                    <w:t>-2</w:t>
                  </w:r>
                  <w:r w:rsidRPr="00330277">
                    <w:rPr>
                      <w:rFonts w:eastAsia="Times New Roman" w:cstheme="minorHAnsi"/>
                      <w:color w:val="000000"/>
                      <w:lang w:eastAsia="cs-CZ"/>
                    </w:rPr>
                    <w:t>)</w:t>
                  </w:r>
                </w:p>
              </w:tc>
              <w:tc>
                <w:tcPr>
                  <w:tcW w:w="1340" w:type="dxa"/>
                  <w:tcBorders>
                    <w:top w:val="nil"/>
                    <w:left w:val="nil"/>
                    <w:bottom w:val="single" w:sz="8" w:space="0" w:color="auto"/>
                    <w:right w:val="single" w:sz="8" w:space="0" w:color="auto"/>
                  </w:tcBorders>
                  <w:shd w:val="clear" w:color="000000" w:fill="E6E6E6"/>
                  <w:noWrap/>
                  <w:vAlign w:val="center"/>
                  <w:hideMark/>
                </w:tcPr>
                <w:p w:rsidR="00330277" w:rsidRPr="00330277" w:rsidRDefault="00330277" w:rsidP="00330277">
                  <w:pPr>
                    <w:spacing w:after="0" w:line="240" w:lineRule="auto"/>
                    <w:rPr>
                      <w:rFonts w:eastAsia="Times New Roman" w:cstheme="minorHAnsi"/>
                      <w:b/>
                      <w:bCs/>
                      <w:color w:val="000000"/>
                      <w:lang w:eastAsia="cs-CZ"/>
                    </w:rPr>
                  </w:pPr>
                  <w:r w:rsidRPr="00330277">
                    <w:rPr>
                      <w:rFonts w:eastAsia="Times New Roman" w:cstheme="minorHAnsi"/>
                      <w:b/>
                      <w:bCs/>
                      <w:color w:val="000000"/>
                      <w:lang w:eastAsia="cs-CZ"/>
                    </w:rPr>
                    <w:t>c</w:t>
                  </w:r>
                  <w:r w:rsidRPr="00330277">
                    <w:rPr>
                      <w:rFonts w:eastAsia="Times New Roman" w:cstheme="minorHAnsi"/>
                      <w:color w:val="000000"/>
                      <w:vertAlign w:val="subscript"/>
                      <w:lang w:eastAsia="cs-CZ"/>
                    </w:rPr>
                    <w:t>(NO3)-</w:t>
                  </w:r>
                  <w:r w:rsidRPr="00330277">
                    <w:rPr>
                      <w:rFonts w:eastAsia="Times New Roman" w:cstheme="minorHAnsi"/>
                      <w:color w:val="000000"/>
                      <w:lang w:eastAsia="cs-CZ"/>
                    </w:rPr>
                    <w:t xml:space="preserve"> (g.m</w:t>
                  </w:r>
                  <w:r w:rsidRPr="00330277">
                    <w:rPr>
                      <w:rFonts w:eastAsia="Times New Roman" w:cstheme="minorHAnsi"/>
                      <w:color w:val="000000"/>
                      <w:vertAlign w:val="superscript"/>
                      <w:lang w:eastAsia="cs-CZ"/>
                    </w:rPr>
                    <w:t>-2</w:t>
                  </w:r>
                  <w:r w:rsidRPr="00330277">
                    <w:rPr>
                      <w:rFonts w:eastAsia="Times New Roman" w:cstheme="minorHAnsi"/>
                      <w:color w:val="000000"/>
                      <w:lang w:eastAsia="cs-CZ"/>
                    </w:rPr>
                    <w:t>)</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1_4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0,23</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4,43</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2_4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0,04</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0,28</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3_4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0,04</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0,4</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4_4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0,63</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0,88</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7,38</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5_4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0,04</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6_4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2,11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0,24</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1,48</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7_4</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0,63</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0,06</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1_5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1,33</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0,09</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0,54</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2_5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0,06</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3_5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0,04</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0,28</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4_5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1,2</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7,83</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5_5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0,98</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0,05</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6_5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0,11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0,46</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7_5</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2,72</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0,05</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1_6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1,5</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0,06</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0,28</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2_6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0,98</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0,05</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0,37</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3_6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0,07</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0,26</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4_6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0,07</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0,3</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5_6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&lt;0,01</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0,07</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6_6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0,72</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0,07</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0,31</w:t>
                  </w:r>
                </w:p>
              </w:tc>
            </w:tr>
            <w:tr w:rsidR="00330277" w:rsidRPr="00330277" w:rsidTr="00330277">
              <w:trPr>
                <w:trHeight w:val="33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rPr>
                      <w:rFonts w:eastAsia="Times New Roman" w:cstheme="minorHAnsi"/>
                      <w:color w:val="000000"/>
                      <w:lang w:eastAsia="cs-CZ"/>
                    </w:rPr>
                  </w:pPr>
                  <w:r w:rsidRPr="00330277">
                    <w:rPr>
                      <w:rFonts w:eastAsia="Times New Roman" w:cstheme="minorHAnsi"/>
                      <w:bCs/>
                      <w:color w:val="000000"/>
                      <w:lang w:eastAsia="cs-CZ"/>
                    </w:rPr>
                    <w:t>vz 7_6</w:t>
                  </w:r>
                </w:p>
              </w:tc>
              <w:tc>
                <w:tcPr>
                  <w:tcW w:w="150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0,46</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0,08</w:t>
                  </w:r>
                </w:p>
              </w:tc>
              <w:tc>
                <w:tcPr>
                  <w:tcW w:w="1340" w:type="dxa"/>
                  <w:tcBorders>
                    <w:top w:val="nil"/>
                    <w:left w:val="nil"/>
                    <w:bottom w:val="single" w:sz="8" w:space="0" w:color="auto"/>
                    <w:right w:val="single" w:sz="8" w:space="0" w:color="auto"/>
                  </w:tcBorders>
                  <w:shd w:val="clear" w:color="auto" w:fill="auto"/>
                  <w:noWrap/>
                  <w:vAlign w:val="center"/>
                  <w:hideMark/>
                </w:tcPr>
                <w:p w:rsidR="00330277" w:rsidRPr="00330277" w:rsidRDefault="00330277" w:rsidP="00330277">
                  <w:pPr>
                    <w:spacing w:after="0" w:line="240" w:lineRule="auto"/>
                    <w:jc w:val="right"/>
                    <w:rPr>
                      <w:rFonts w:eastAsia="Times New Roman" w:cstheme="minorHAnsi"/>
                      <w:color w:val="000000"/>
                      <w:lang w:eastAsia="cs-CZ"/>
                    </w:rPr>
                  </w:pPr>
                  <w:r w:rsidRPr="00330277">
                    <w:rPr>
                      <w:rFonts w:eastAsia="Times New Roman" w:cstheme="minorHAnsi"/>
                      <w:bCs/>
                      <w:color w:val="000000"/>
                      <w:lang w:eastAsia="cs-CZ"/>
                    </w:rPr>
                    <w:t>0,25</w:t>
                  </w:r>
                </w:p>
              </w:tc>
            </w:tr>
          </w:tbl>
          <w:p w:rsidR="00330277" w:rsidRPr="00330277" w:rsidRDefault="00330277" w:rsidP="00330277">
            <w:pPr>
              <w:rPr>
                <w:rFonts w:cstheme="minorHAnsi"/>
                <w:color w:val="000000"/>
              </w:rPr>
            </w:pPr>
          </w:p>
          <w:p w:rsidR="00330277" w:rsidRPr="00330277" w:rsidRDefault="00330277" w:rsidP="00330277">
            <w:pPr>
              <w:rPr>
                <w:rFonts w:cstheme="minorHAnsi"/>
                <w:color w:val="000000"/>
              </w:rPr>
            </w:pPr>
          </w:p>
          <w:p w:rsidR="00330277" w:rsidRPr="00330277" w:rsidRDefault="00330277" w:rsidP="00330277">
            <w:pPr>
              <w:rPr>
                <w:rFonts w:cstheme="minorHAnsi"/>
                <w:b/>
              </w:rPr>
            </w:pPr>
            <w:r w:rsidRPr="00330277">
              <w:rPr>
                <w:rFonts w:cstheme="minorHAnsi"/>
                <w:b/>
              </w:rPr>
              <w:t>Výsledky průběhu odsolování tří závěrečných cyklů měřených ze vzorků odebraných z odsolovacích obkladů v jednotlivých místech odběru vynesené do grafů:</w:t>
            </w: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591175" cy="24479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447925"/>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600700" cy="25336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2533650"/>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581650" cy="26003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581650" cy="26003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581650" cy="26003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581650" cy="26003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noProof/>
                <w:lang w:eastAsia="cs-CZ"/>
              </w:rPr>
              <w:drawing>
                <wp:inline distT="0" distB="0" distL="0" distR="0">
                  <wp:extent cx="5581650" cy="260032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330277" w:rsidRPr="00330277" w:rsidRDefault="00330277" w:rsidP="00330277">
            <w:pPr>
              <w:rPr>
                <w:rFonts w:cstheme="minorHAnsi"/>
                <w:color w:val="000000"/>
              </w:rPr>
            </w:pPr>
          </w:p>
          <w:p w:rsidR="00330277" w:rsidRPr="00330277" w:rsidRDefault="00330277" w:rsidP="00330277">
            <w:pPr>
              <w:rPr>
                <w:rFonts w:cstheme="minorHAnsi"/>
                <w:color w:val="000000"/>
              </w:rPr>
            </w:pPr>
            <w:r w:rsidRPr="00330277">
              <w:rPr>
                <w:rFonts w:cstheme="minorHAnsi"/>
                <w:b/>
                <w:noProof/>
                <w:lang w:eastAsia="cs-CZ"/>
              </w:rPr>
              <w:drawing>
                <wp:inline distT="0" distB="0" distL="0" distR="0">
                  <wp:extent cx="4072255" cy="3129915"/>
                  <wp:effectExtent l="19050" t="19050" r="23495" b="13335"/>
                  <wp:docPr id="8" name="Obrázek 8" descr="Kutna Hora Kasna vyl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tna Hora Kasna vyluh"/>
                          <pic:cNvPicPr>
                            <a:picLocks noChangeAspect="1" noChangeArrowheads="1"/>
                          </pic:cNvPicPr>
                        </pic:nvPicPr>
                        <pic:blipFill>
                          <a:blip r:embed="rId14" cstate="print">
                            <a:extLst>
                              <a:ext uri="{28A0092B-C50C-407E-A947-70E740481C1C}">
                                <a14:useLocalDpi xmlns:a14="http://schemas.microsoft.com/office/drawing/2010/main" val="0"/>
                              </a:ext>
                            </a:extLst>
                          </a:blip>
                          <a:srcRect t="8571"/>
                          <a:stretch>
                            <a:fillRect/>
                          </a:stretch>
                        </pic:blipFill>
                        <pic:spPr bwMode="auto">
                          <a:xfrm>
                            <a:off x="0" y="0"/>
                            <a:ext cx="4072255" cy="3129915"/>
                          </a:xfrm>
                          <a:prstGeom prst="rect">
                            <a:avLst/>
                          </a:prstGeom>
                          <a:noFill/>
                          <a:ln w="3175">
                            <a:solidFill>
                              <a:srgbClr val="000000"/>
                            </a:solidFill>
                            <a:miter lim="800000"/>
                            <a:headEnd/>
                            <a:tailEnd/>
                          </a:ln>
                        </pic:spPr>
                      </pic:pic>
                    </a:graphicData>
                  </a:graphic>
                </wp:inline>
              </w:drawing>
            </w:r>
          </w:p>
          <w:p w:rsidR="00330277" w:rsidRPr="00330277" w:rsidRDefault="00330277" w:rsidP="00330277">
            <w:pPr>
              <w:rPr>
                <w:rFonts w:cstheme="minorHAnsi"/>
                <w:i/>
              </w:rPr>
            </w:pPr>
            <w:r w:rsidRPr="00330277">
              <w:rPr>
                <w:rFonts w:cstheme="minorHAnsi"/>
                <w:i/>
              </w:rPr>
              <w:t>Obr. 1. EDS spektrum odparku z extraktu získaného z odsolovacího obkladu A9_vz1_ex</w:t>
            </w:r>
          </w:p>
          <w:p w:rsidR="00330277" w:rsidRPr="00330277" w:rsidRDefault="00330277" w:rsidP="00330277">
            <w:pPr>
              <w:rPr>
                <w:rFonts w:cstheme="minorHAnsi"/>
                <w:i/>
              </w:rPr>
            </w:pPr>
          </w:p>
          <w:p w:rsidR="00330277" w:rsidRPr="00330277" w:rsidRDefault="00330277" w:rsidP="00330277">
            <w:pPr>
              <w:rPr>
                <w:rFonts w:cstheme="minorHAnsi"/>
                <w:b/>
              </w:rPr>
            </w:pPr>
            <w:r w:rsidRPr="00330277">
              <w:rPr>
                <w:rFonts w:cstheme="minorHAnsi"/>
                <w:b/>
              </w:rPr>
              <w:t>Vyhodnocení:</w:t>
            </w:r>
          </w:p>
          <w:p w:rsidR="00330277" w:rsidRPr="00330277" w:rsidRDefault="00330277" w:rsidP="00330277">
            <w:pPr>
              <w:rPr>
                <w:rFonts w:cstheme="minorHAnsi"/>
              </w:rPr>
            </w:pPr>
          </w:p>
          <w:p w:rsidR="00330277" w:rsidRPr="00330277" w:rsidRDefault="00330277" w:rsidP="00330277">
            <w:pPr>
              <w:jc w:val="both"/>
              <w:rPr>
                <w:rFonts w:cstheme="minorHAnsi"/>
              </w:rPr>
            </w:pPr>
            <w:r w:rsidRPr="00330277">
              <w:rPr>
                <w:rFonts w:cstheme="minorHAnsi"/>
              </w:rPr>
              <w:t>Obecně lze na základě výsledků měření obsahu solí po odsolování ve druhé etapě konstatovat, že prakticky ve všech kontrolních vzorcích je obsah solí velmi nízký. Odsolování je možné hodnotit jako velmi efektivní. Proto lze předpokládat, že v místech odběru vzorků bude vliv solí v následujícím období velmi nízký, přesto nelze vyloučit, že po delším časovém úseku může dojít opět k nahromadění solí v povrchových vrstvách kamene a odsolování bude nutné opakovat. To je způsobeno tím, že odsolování pomocí obkladů, což byl v případě tohoto objektu jediný možný způsob, jak obsah solí redukovat, je účinné pouze do hloubky několika centimetrů a není možné jim snížit obsah solí v celém objemu kamenných kvádrů.</w:t>
            </w:r>
          </w:p>
          <w:p w:rsidR="00330277" w:rsidRPr="00330277" w:rsidRDefault="00330277" w:rsidP="00330277">
            <w:pPr>
              <w:rPr>
                <w:rFonts w:cstheme="minorHAnsi"/>
              </w:rPr>
            </w:pPr>
          </w:p>
          <w:p w:rsidR="00330277" w:rsidRPr="00330277" w:rsidRDefault="00330277" w:rsidP="00330277">
            <w:pPr>
              <w:jc w:val="both"/>
              <w:rPr>
                <w:rFonts w:cstheme="minorHAnsi"/>
              </w:rPr>
            </w:pPr>
            <w:r w:rsidRPr="00330277">
              <w:rPr>
                <w:rFonts w:cstheme="minorHAnsi"/>
              </w:rPr>
              <w:t>Průběh odsolování byl sledován a kontrolován měřením obsahu solí v odsolovacím materiálu po jednotlivých odsolovacích cyklech. Tento postup kontrolních měření byl zvolen proto, aby nebylo nutné odebírat vzorky z restaurovaného objektu v průběhu odsolování. Podle výsledků měření byl určen i celkový počet odsolovacích cyklů a výsledky kontrolního měření závěrečné fáze odsolování jsou ilustrovány graficky v závěru této zprávy.</w:t>
            </w:r>
          </w:p>
          <w:p w:rsidR="00330277" w:rsidRPr="00330277" w:rsidRDefault="00330277" w:rsidP="00330277">
            <w:pPr>
              <w:rPr>
                <w:rFonts w:cstheme="minorHAnsi"/>
              </w:rPr>
            </w:pPr>
          </w:p>
          <w:p w:rsidR="00330277" w:rsidRPr="00330277" w:rsidRDefault="00330277" w:rsidP="00330277">
            <w:pPr>
              <w:jc w:val="both"/>
              <w:rPr>
                <w:rFonts w:cstheme="minorHAnsi"/>
              </w:rPr>
            </w:pPr>
            <w:r w:rsidRPr="00330277">
              <w:rPr>
                <w:rFonts w:cstheme="minorHAnsi"/>
              </w:rPr>
              <w:t>Podle prvkové analýzy odparku získaného z výluhu obkladu po odsolování lze předpokládat, že extrahované soli jsou tvořeny hlavně sírany, chloridy a dusičnany vápníku a hořčíku. V menší míře jsou ve výluhu obsaženy draselné a sodné soli.</w:t>
            </w:r>
          </w:p>
          <w:p w:rsidR="00330277" w:rsidRPr="00330277" w:rsidRDefault="00330277" w:rsidP="00330277">
            <w:pPr>
              <w:rPr>
                <w:rFonts w:cstheme="minorHAnsi"/>
              </w:rPr>
            </w:pPr>
          </w:p>
          <w:p w:rsidR="00330277" w:rsidRPr="00330277" w:rsidRDefault="00330277" w:rsidP="00330277">
            <w:pPr>
              <w:rPr>
                <w:rFonts w:cstheme="minorHAnsi"/>
              </w:rPr>
            </w:pPr>
            <w:r w:rsidRPr="00330277">
              <w:rPr>
                <w:rFonts w:cstheme="minorHAnsi"/>
                <w:b/>
              </w:rPr>
              <w:t>Příloha:</w:t>
            </w:r>
            <w:r w:rsidRPr="00330277">
              <w:rPr>
                <w:rFonts w:cstheme="minorHAnsi"/>
              </w:rPr>
              <w:t xml:space="preserve"> Orientační hodnocení míry zasolení</w:t>
            </w:r>
          </w:p>
          <w:p w:rsidR="00330277" w:rsidRPr="00330277" w:rsidRDefault="00330277" w:rsidP="00330277">
            <w:pPr>
              <w:rPr>
                <w:rFonts w:cstheme="minorHAnsi"/>
              </w:rPr>
            </w:pPr>
          </w:p>
          <w:p w:rsidR="00330277" w:rsidRPr="00330277" w:rsidRDefault="00330277" w:rsidP="00330277">
            <w:pPr>
              <w:jc w:val="both"/>
              <w:rPr>
                <w:rFonts w:cstheme="minorHAnsi"/>
              </w:rPr>
            </w:pPr>
            <w:r w:rsidRPr="00330277">
              <w:rPr>
                <w:rFonts w:cstheme="minorHAnsi"/>
              </w:rPr>
              <w:t>1. Rakouská norma Önorm B 3355-1</w:t>
            </w:r>
          </w:p>
          <w:p w:rsidR="00330277" w:rsidRPr="00330277" w:rsidRDefault="00330277" w:rsidP="00330277">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2"/>
              <w:gridCol w:w="1340"/>
              <w:gridCol w:w="1340"/>
              <w:gridCol w:w="1340"/>
            </w:tblGrid>
            <w:tr w:rsidR="00330277" w:rsidRPr="00330277" w:rsidTr="00DF74E0">
              <w:tblPrEx>
                <w:tblCellMar>
                  <w:top w:w="0" w:type="dxa"/>
                  <w:bottom w:w="0" w:type="dxa"/>
                </w:tblCellMar>
              </w:tblPrEx>
              <w:tc>
                <w:tcPr>
                  <w:tcW w:w="5192" w:type="dxa"/>
                </w:tcPr>
                <w:p w:rsidR="00330277" w:rsidRPr="00330277" w:rsidRDefault="00330277" w:rsidP="00330277">
                  <w:pPr>
                    <w:jc w:val="both"/>
                    <w:rPr>
                      <w:rFonts w:cstheme="minorHAnsi"/>
                      <w:b/>
                    </w:rPr>
                  </w:pPr>
                  <w:r w:rsidRPr="00330277">
                    <w:rPr>
                      <w:rFonts w:cstheme="minorHAnsi"/>
                      <w:b/>
                    </w:rPr>
                    <w:t>Hodnocení stupně zasolení</w:t>
                  </w:r>
                </w:p>
              </w:tc>
              <w:tc>
                <w:tcPr>
                  <w:tcW w:w="1340" w:type="dxa"/>
                </w:tcPr>
                <w:p w:rsidR="00330277" w:rsidRPr="00330277" w:rsidRDefault="00330277" w:rsidP="00330277">
                  <w:pPr>
                    <w:jc w:val="center"/>
                    <w:rPr>
                      <w:rFonts w:cstheme="minorHAnsi"/>
                      <w:b/>
                    </w:rPr>
                  </w:pPr>
                  <w:r w:rsidRPr="00330277">
                    <w:rPr>
                      <w:rFonts w:cstheme="minorHAnsi"/>
                      <w:b/>
                    </w:rPr>
                    <w:t>Sírany</w:t>
                  </w:r>
                </w:p>
                <w:p w:rsidR="00330277" w:rsidRPr="00330277" w:rsidRDefault="00330277" w:rsidP="00330277">
                  <w:pPr>
                    <w:jc w:val="center"/>
                    <w:rPr>
                      <w:rFonts w:cstheme="minorHAnsi"/>
                      <w:b/>
                    </w:rPr>
                  </w:pPr>
                  <w:r w:rsidRPr="00330277">
                    <w:rPr>
                      <w:rFonts w:cstheme="minorHAnsi"/>
                      <w:b/>
                    </w:rPr>
                    <w:t>(%hm.)</w:t>
                  </w:r>
                </w:p>
              </w:tc>
              <w:tc>
                <w:tcPr>
                  <w:tcW w:w="1340" w:type="dxa"/>
                </w:tcPr>
                <w:p w:rsidR="00330277" w:rsidRPr="00330277" w:rsidRDefault="00330277" w:rsidP="00330277">
                  <w:pPr>
                    <w:jc w:val="center"/>
                    <w:rPr>
                      <w:rFonts w:cstheme="minorHAnsi"/>
                      <w:b/>
                    </w:rPr>
                  </w:pPr>
                  <w:r w:rsidRPr="00330277">
                    <w:rPr>
                      <w:rFonts w:cstheme="minorHAnsi"/>
                      <w:b/>
                    </w:rPr>
                    <w:t>Chloridy</w:t>
                  </w:r>
                </w:p>
                <w:p w:rsidR="00330277" w:rsidRPr="00330277" w:rsidRDefault="00330277" w:rsidP="00330277">
                  <w:pPr>
                    <w:jc w:val="center"/>
                    <w:rPr>
                      <w:rFonts w:cstheme="minorHAnsi"/>
                      <w:b/>
                    </w:rPr>
                  </w:pPr>
                  <w:r w:rsidRPr="00330277">
                    <w:rPr>
                      <w:rFonts w:cstheme="minorHAnsi"/>
                      <w:b/>
                    </w:rPr>
                    <w:t>(%hm.)</w:t>
                  </w:r>
                </w:p>
              </w:tc>
              <w:tc>
                <w:tcPr>
                  <w:tcW w:w="1340" w:type="dxa"/>
                </w:tcPr>
                <w:p w:rsidR="00330277" w:rsidRPr="00330277" w:rsidRDefault="00330277" w:rsidP="00330277">
                  <w:pPr>
                    <w:jc w:val="center"/>
                    <w:rPr>
                      <w:rFonts w:cstheme="minorHAnsi"/>
                      <w:b/>
                    </w:rPr>
                  </w:pPr>
                  <w:r w:rsidRPr="00330277">
                    <w:rPr>
                      <w:rFonts w:cstheme="minorHAnsi"/>
                      <w:b/>
                    </w:rPr>
                    <w:t>Dusičnany</w:t>
                  </w:r>
                </w:p>
                <w:p w:rsidR="00330277" w:rsidRPr="00330277" w:rsidRDefault="00330277" w:rsidP="00330277">
                  <w:pPr>
                    <w:jc w:val="center"/>
                    <w:rPr>
                      <w:rFonts w:cstheme="minorHAnsi"/>
                      <w:b/>
                    </w:rPr>
                  </w:pPr>
                  <w:r w:rsidRPr="00330277">
                    <w:rPr>
                      <w:rFonts w:cstheme="minorHAnsi"/>
                      <w:b/>
                    </w:rPr>
                    <w:t>(%hm.)</w:t>
                  </w:r>
                </w:p>
              </w:tc>
            </w:tr>
            <w:tr w:rsidR="00330277" w:rsidRPr="00330277" w:rsidTr="00DF74E0">
              <w:tblPrEx>
                <w:tblCellMar>
                  <w:top w:w="0" w:type="dxa"/>
                  <w:bottom w:w="0" w:type="dxa"/>
                </w:tblCellMar>
              </w:tblPrEx>
              <w:tc>
                <w:tcPr>
                  <w:tcW w:w="5192" w:type="dxa"/>
                </w:tcPr>
                <w:p w:rsidR="00330277" w:rsidRPr="00330277" w:rsidRDefault="00330277" w:rsidP="00330277">
                  <w:pPr>
                    <w:jc w:val="both"/>
                    <w:rPr>
                      <w:rFonts w:cstheme="minorHAnsi"/>
                    </w:rPr>
                  </w:pPr>
                  <w:r w:rsidRPr="00330277">
                    <w:rPr>
                      <w:rFonts w:cstheme="minorHAnsi"/>
                    </w:rPr>
                    <w:t>Nejsou nutná žádná opatření</w:t>
                  </w:r>
                </w:p>
              </w:tc>
              <w:tc>
                <w:tcPr>
                  <w:tcW w:w="1340" w:type="dxa"/>
                </w:tcPr>
                <w:p w:rsidR="00330277" w:rsidRPr="00330277" w:rsidRDefault="00330277" w:rsidP="00330277">
                  <w:pPr>
                    <w:jc w:val="center"/>
                    <w:rPr>
                      <w:rFonts w:cstheme="minorHAnsi"/>
                    </w:rPr>
                  </w:pPr>
                  <w:r w:rsidRPr="00330277">
                    <w:rPr>
                      <w:rFonts w:cstheme="minorHAnsi"/>
                    </w:rPr>
                    <w:t>&lt; 0,10</w:t>
                  </w:r>
                </w:p>
              </w:tc>
              <w:tc>
                <w:tcPr>
                  <w:tcW w:w="1340" w:type="dxa"/>
                </w:tcPr>
                <w:p w:rsidR="00330277" w:rsidRPr="00330277" w:rsidRDefault="00330277" w:rsidP="00330277">
                  <w:pPr>
                    <w:jc w:val="center"/>
                    <w:rPr>
                      <w:rFonts w:cstheme="minorHAnsi"/>
                    </w:rPr>
                  </w:pPr>
                  <w:r w:rsidRPr="00330277">
                    <w:rPr>
                      <w:rFonts w:cstheme="minorHAnsi"/>
                    </w:rPr>
                    <w:t>&lt; 0,03</w:t>
                  </w:r>
                </w:p>
              </w:tc>
              <w:tc>
                <w:tcPr>
                  <w:tcW w:w="1340" w:type="dxa"/>
                </w:tcPr>
                <w:p w:rsidR="00330277" w:rsidRPr="00330277" w:rsidRDefault="00330277" w:rsidP="00330277">
                  <w:pPr>
                    <w:jc w:val="center"/>
                    <w:rPr>
                      <w:rFonts w:cstheme="minorHAnsi"/>
                    </w:rPr>
                  </w:pPr>
                  <w:r w:rsidRPr="00330277">
                    <w:rPr>
                      <w:rFonts w:cstheme="minorHAnsi"/>
                    </w:rPr>
                    <w:t>&lt; 0,05</w:t>
                  </w:r>
                </w:p>
              </w:tc>
            </w:tr>
            <w:tr w:rsidR="00330277" w:rsidRPr="00330277" w:rsidTr="00DF74E0">
              <w:tblPrEx>
                <w:tblCellMar>
                  <w:top w:w="0" w:type="dxa"/>
                  <w:bottom w:w="0" w:type="dxa"/>
                </w:tblCellMar>
              </w:tblPrEx>
              <w:tc>
                <w:tcPr>
                  <w:tcW w:w="5192" w:type="dxa"/>
                </w:tcPr>
                <w:p w:rsidR="00330277" w:rsidRPr="00330277" w:rsidRDefault="00330277" w:rsidP="00330277">
                  <w:pPr>
                    <w:jc w:val="both"/>
                    <w:rPr>
                      <w:rFonts w:cstheme="minorHAnsi"/>
                    </w:rPr>
                  </w:pPr>
                  <w:r w:rsidRPr="00330277">
                    <w:rPr>
                      <w:rFonts w:cstheme="minorHAnsi"/>
                    </w:rPr>
                    <w:t xml:space="preserve">Je nutné zvážit dílčí opatření </w:t>
                  </w:r>
                </w:p>
              </w:tc>
              <w:tc>
                <w:tcPr>
                  <w:tcW w:w="1340" w:type="dxa"/>
                </w:tcPr>
                <w:p w:rsidR="00330277" w:rsidRPr="00330277" w:rsidRDefault="00330277" w:rsidP="00330277">
                  <w:pPr>
                    <w:jc w:val="center"/>
                    <w:rPr>
                      <w:rFonts w:cstheme="minorHAnsi"/>
                    </w:rPr>
                  </w:pPr>
                  <w:r w:rsidRPr="00330277">
                    <w:rPr>
                      <w:rFonts w:cstheme="minorHAnsi"/>
                    </w:rPr>
                    <w:t>0,10 – 0,25</w:t>
                  </w:r>
                </w:p>
              </w:tc>
              <w:tc>
                <w:tcPr>
                  <w:tcW w:w="1340" w:type="dxa"/>
                </w:tcPr>
                <w:p w:rsidR="00330277" w:rsidRPr="00330277" w:rsidRDefault="00330277" w:rsidP="00330277">
                  <w:pPr>
                    <w:jc w:val="center"/>
                    <w:rPr>
                      <w:rFonts w:cstheme="minorHAnsi"/>
                    </w:rPr>
                  </w:pPr>
                  <w:r w:rsidRPr="00330277">
                    <w:rPr>
                      <w:rFonts w:cstheme="minorHAnsi"/>
                    </w:rPr>
                    <w:t>0,03 – 0,10</w:t>
                  </w:r>
                </w:p>
              </w:tc>
              <w:tc>
                <w:tcPr>
                  <w:tcW w:w="1340" w:type="dxa"/>
                </w:tcPr>
                <w:p w:rsidR="00330277" w:rsidRPr="00330277" w:rsidRDefault="00330277" w:rsidP="00330277">
                  <w:pPr>
                    <w:jc w:val="center"/>
                    <w:rPr>
                      <w:rFonts w:cstheme="minorHAnsi"/>
                    </w:rPr>
                  </w:pPr>
                  <w:r w:rsidRPr="00330277">
                    <w:rPr>
                      <w:rFonts w:cstheme="minorHAnsi"/>
                    </w:rPr>
                    <w:t>0,05 – 0,15</w:t>
                  </w:r>
                </w:p>
              </w:tc>
            </w:tr>
            <w:tr w:rsidR="00330277" w:rsidRPr="00330277" w:rsidTr="00DF74E0">
              <w:tblPrEx>
                <w:tblCellMar>
                  <w:top w:w="0" w:type="dxa"/>
                  <w:bottom w:w="0" w:type="dxa"/>
                </w:tblCellMar>
              </w:tblPrEx>
              <w:tc>
                <w:tcPr>
                  <w:tcW w:w="5192" w:type="dxa"/>
                </w:tcPr>
                <w:p w:rsidR="00330277" w:rsidRPr="00330277" w:rsidRDefault="00330277" w:rsidP="00330277">
                  <w:pPr>
                    <w:jc w:val="both"/>
                    <w:rPr>
                      <w:rFonts w:cstheme="minorHAnsi"/>
                    </w:rPr>
                  </w:pPr>
                  <w:r w:rsidRPr="00330277">
                    <w:rPr>
                      <w:rFonts w:cstheme="minorHAnsi"/>
                    </w:rPr>
                    <w:t>Opatření jsou nezbytná</w:t>
                  </w:r>
                </w:p>
              </w:tc>
              <w:tc>
                <w:tcPr>
                  <w:tcW w:w="1340" w:type="dxa"/>
                </w:tcPr>
                <w:p w:rsidR="00330277" w:rsidRPr="00330277" w:rsidRDefault="00330277" w:rsidP="00330277">
                  <w:pPr>
                    <w:jc w:val="center"/>
                    <w:rPr>
                      <w:rFonts w:cstheme="minorHAnsi"/>
                    </w:rPr>
                  </w:pPr>
                  <w:r w:rsidRPr="00330277">
                    <w:rPr>
                      <w:rFonts w:cstheme="minorHAnsi"/>
                    </w:rPr>
                    <w:t>&gt; 0,25</w:t>
                  </w:r>
                </w:p>
              </w:tc>
              <w:tc>
                <w:tcPr>
                  <w:tcW w:w="1340" w:type="dxa"/>
                </w:tcPr>
                <w:p w:rsidR="00330277" w:rsidRPr="00330277" w:rsidRDefault="00330277" w:rsidP="00330277">
                  <w:pPr>
                    <w:jc w:val="center"/>
                    <w:rPr>
                      <w:rFonts w:cstheme="minorHAnsi"/>
                    </w:rPr>
                  </w:pPr>
                  <w:r w:rsidRPr="00330277">
                    <w:rPr>
                      <w:rFonts w:cstheme="minorHAnsi"/>
                    </w:rPr>
                    <w:t>&gt; 0,10</w:t>
                  </w:r>
                </w:p>
              </w:tc>
              <w:tc>
                <w:tcPr>
                  <w:tcW w:w="1340" w:type="dxa"/>
                </w:tcPr>
                <w:p w:rsidR="00330277" w:rsidRPr="00330277" w:rsidRDefault="00330277" w:rsidP="00330277">
                  <w:pPr>
                    <w:jc w:val="center"/>
                    <w:rPr>
                      <w:rFonts w:cstheme="minorHAnsi"/>
                    </w:rPr>
                  </w:pPr>
                  <w:r w:rsidRPr="00330277">
                    <w:rPr>
                      <w:rFonts w:cstheme="minorHAnsi"/>
                    </w:rPr>
                    <w:t>&gt; 0,15</w:t>
                  </w:r>
                </w:p>
              </w:tc>
            </w:tr>
          </w:tbl>
          <w:p w:rsidR="00330277" w:rsidRPr="00330277" w:rsidRDefault="00330277" w:rsidP="00330277">
            <w:pPr>
              <w:rPr>
                <w:rFonts w:cstheme="minorHAnsi"/>
              </w:rPr>
            </w:pPr>
          </w:p>
          <w:p w:rsidR="00330277" w:rsidRPr="00330277" w:rsidRDefault="00330277" w:rsidP="00330277">
            <w:pPr>
              <w:rPr>
                <w:rFonts w:cstheme="minorHAnsi"/>
              </w:rPr>
            </w:pPr>
          </w:p>
          <w:p w:rsidR="00330277" w:rsidRPr="00330277" w:rsidRDefault="00330277" w:rsidP="00330277">
            <w:pPr>
              <w:pStyle w:val="Nadpis3"/>
              <w:jc w:val="left"/>
              <w:outlineLvl w:val="2"/>
              <w:rPr>
                <w:rFonts w:asciiTheme="minorHAnsi" w:hAnsiTheme="minorHAnsi" w:cstheme="minorHAnsi"/>
                <w:b w:val="0"/>
                <w:sz w:val="22"/>
                <w:szCs w:val="22"/>
              </w:rPr>
            </w:pPr>
            <w:r w:rsidRPr="00330277">
              <w:rPr>
                <w:rFonts w:asciiTheme="minorHAnsi" w:hAnsiTheme="minorHAnsi" w:cstheme="minorHAnsi"/>
                <w:b w:val="0"/>
                <w:sz w:val="22"/>
                <w:szCs w:val="22"/>
              </w:rPr>
              <w:t xml:space="preserve">2. „Altbauten zerstörungsarm untersuchen - </w:t>
            </w:r>
            <w:r w:rsidRPr="00330277">
              <w:rPr>
                <w:rFonts w:asciiTheme="minorHAnsi" w:hAnsiTheme="minorHAnsi" w:cstheme="minorHAnsi"/>
                <w:b w:val="0"/>
                <w:color w:val="000000"/>
                <w:sz w:val="22"/>
                <w:szCs w:val="22"/>
              </w:rPr>
              <w:t>Bauaufnahme, Holzuntersuchung, Mauerfeuchtigkeit</w:t>
            </w:r>
            <w:r w:rsidRPr="00330277">
              <w:rPr>
                <w:rFonts w:asciiTheme="minorHAnsi" w:hAnsiTheme="minorHAnsi" w:cstheme="minorHAnsi"/>
                <w:b w:val="0"/>
                <w:sz w:val="22"/>
                <w:szCs w:val="22"/>
              </w:rPr>
              <w:t>“; M.</w:t>
            </w:r>
            <w:r w:rsidRPr="00330277">
              <w:rPr>
                <w:rFonts w:asciiTheme="minorHAnsi" w:hAnsiTheme="minorHAnsi" w:cstheme="minorHAnsi"/>
                <w:b w:val="0"/>
                <w:color w:val="000000"/>
                <w:sz w:val="22"/>
                <w:szCs w:val="22"/>
              </w:rPr>
              <w:t xml:space="preserve"> Dzierzon; J. </w:t>
            </w:r>
            <w:r w:rsidRPr="00330277">
              <w:rPr>
                <w:rFonts w:asciiTheme="minorHAnsi" w:hAnsiTheme="minorHAnsi" w:cstheme="minorHAnsi"/>
                <w:b w:val="0"/>
                <w:sz w:val="22"/>
                <w:szCs w:val="22"/>
              </w:rPr>
              <w:t>Zull; kniha, Müller Verlag, Köln 1990</w:t>
            </w:r>
          </w:p>
          <w:p w:rsidR="00330277" w:rsidRPr="00330277" w:rsidRDefault="00330277" w:rsidP="0033027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2976"/>
              <w:gridCol w:w="2977"/>
            </w:tblGrid>
            <w:tr w:rsidR="00330277" w:rsidRPr="00330277" w:rsidTr="00DF74E0">
              <w:tblPrEx>
                <w:tblCellMar>
                  <w:top w:w="0" w:type="dxa"/>
                  <w:bottom w:w="0" w:type="dxa"/>
                </w:tblCellMar>
              </w:tblPrEx>
              <w:tc>
                <w:tcPr>
                  <w:tcW w:w="3258" w:type="dxa"/>
                </w:tcPr>
                <w:p w:rsidR="00330277" w:rsidRPr="00330277" w:rsidRDefault="00330277" w:rsidP="00330277">
                  <w:pPr>
                    <w:rPr>
                      <w:rFonts w:cstheme="minorHAnsi"/>
                    </w:rPr>
                  </w:pPr>
                  <w:r w:rsidRPr="00330277">
                    <w:rPr>
                      <w:rFonts w:cstheme="minorHAnsi"/>
                    </w:rPr>
                    <w:t>Stupeň zasolení</w:t>
                  </w:r>
                </w:p>
              </w:tc>
              <w:tc>
                <w:tcPr>
                  <w:tcW w:w="2977" w:type="dxa"/>
                </w:tcPr>
                <w:p w:rsidR="00330277" w:rsidRPr="00330277" w:rsidRDefault="00330277" w:rsidP="00330277">
                  <w:pPr>
                    <w:rPr>
                      <w:rFonts w:cstheme="minorHAnsi"/>
                    </w:rPr>
                  </w:pPr>
                  <w:r w:rsidRPr="00330277">
                    <w:rPr>
                      <w:rFonts w:cstheme="minorHAnsi"/>
                    </w:rPr>
                    <w:t>Koncentrace solí</w:t>
                  </w:r>
                </w:p>
              </w:tc>
              <w:tc>
                <w:tcPr>
                  <w:tcW w:w="2977" w:type="dxa"/>
                </w:tcPr>
                <w:p w:rsidR="00330277" w:rsidRPr="00330277" w:rsidRDefault="00330277" w:rsidP="00330277">
                  <w:pPr>
                    <w:rPr>
                      <w:rFonts w:cstheme="minorHAnsi"/>
                    </w:rPr>
                  </w:pPr>
                  <w:r w:rsidRPr="00330277">
                    <w:rPr>
                      <w:rFonts w:cstheme="minorHAnsi"/>
                    </w:rPr>
                    <w:t>Vliv na materiál</w:t>
                  </w:r>
                </w:p>
              </w:tc>
            </w:tr>
            <w:tr w:rsidR="00330277" w:rsidRPr="00330277" w:rsidTr="00DF74E0">
              <w:tblPrEx>
                <w:tblCellMar>
                  <w:top w:w="0" w:type="dxa"/>
                  <w:bottom w:w="0" w:type="dxa"/>
                </w:tblCellMar>
              </w:tblPrEx>
              <w:tc>
                <w:tcPr>
                  <w:tcW w:w="3258" w:type="dxa"/>
                </w:tcPr>
                <w:p w:rsidR="00330277" w:rsidRPr="00330277" w:rsidRDefault="00330277" w:rsidP="00330277">
                  <w:pPr>
                    <w:rPr>
                      <w:rFonts w:cstheme="minorHAnsi"/>
                    </w:rPr>
                  </w:pPr>
                  <w:r w:rsidRPr="00330277">
                    <w:rPr>
                      <w:rFonts w:cstheme="minorHAnsi"/>
                    </w:rPr>
                    <w:t>I.</w:t>
                  </w:r>
                </w:p>
              </w:tc>
              <w:tc>
                <w:tcPr>
                  <w:tcW w:w="2977" w:type="dxa"/>
                </w:tcPr>
                <w:p w:rsidR="00330277" w:rsidRPr="00330277" w:rsidRDefault="00330277" w:rsidP="00330277">
                  <w:pPr>
                    <w:rPr>
                      <w:rFonts w:cstheme="minorHAnsi"/>
                    </w:rPr>
                  </w:pPr>
                  <w:r w:rsidRPr="00330277">
                    <w:rPr>
                      <w:rFonts w:cstheme="minorHAnsi"/>
                    </w:rPr>
                    <w:t>0-2,5 mmol/kg</w:t>
                  </w:r>
                </w:p>
              </w:tc>
              <w:tc>
                <w:tcPr>
                  <w:tcW w:w="2977" w:type="dxa"/>
                </w:tcPr>
                <w:p w:rsidR="00330277" w:rsidRPr="00330277" w:rsidRDefault="00330277" w:rsidP="00330277">
                  <w:pPr>
                    <w:rPr>
                      <w:rFonts w:cstheme="minorHAnsi"/>
                    </w:rPr>
                  </w:pPr>
                  <w:r w:rsidRPr="00330277">
                    <w:rPr>
                      <w:rFonts w:cstheme="minorHAnsi"/>
                    </w:rPr>
                    <w:t>Jen stopy solí, poškození lze vyloučit</w:t>
                  </w:r>
                </w:p>
              </w:tc>
            </w:tr>
            <w:tr w:rsidR="00330277" w:rsidRPr="00330277" w:rsidTr="00DF74E0">
              <w:tblPrEx>
                <w:tblCellMar>
                  <w:top w:w="0" w:type="dxa"/>
                  <w:bottom w:w="0" w:type="dxa"/>
                </w:tblCellMar>
              </w:tblPrEx>
              <w:tc>
                <w:tcPr>
                  <w:tcW w:w="3258" w:type="dxa"/>
                </w:tcPr>
                <w:p w:rsidR="00330277" w:rsidRPr="00330277" w:rsidRDefault="00330277" w:rsidP="00330277">
                  <w:pPr>
                    <w:rPr>
                      <w:rFonts w:cstheme="minorHAnsi"/>
                    </w:rPr>
                  </w:pPr>
                  <w:r w:rsidRPr="00330277">
                    <w:rPr>
                      <w:rFonts w:cstheme="minorHAnsi"/>
                    </w:rPr>
                    <w:t>II.</w:t>
                  </w:r>
                </w:p>
              </w:tc>
              <w:tc>
                <w:tcPr>
                  <w:tcW w:w="2977" w:type="dxa"/>
                </w:tcPr>
                <w:p w:rsidR="00330277" w:rsidRPr="00330277" w:rsidRDefault="00330277" w:rsidP="00330277">
                  <w:pPr>
                    <w:rPr>
                      <w:rFonts w:cstheme="minorHAnsi"/>
                    </w:rPr>
                  </w:pPr>
                  <w:r w:rsidRPr="00330277">
                    <w:rPr>
                      <w:rFonts w:cstheme="minorHAnsi"/>
                    </w:rPr>
                    <w:t>2,5-8 mmol/kg</w:t>
                  </w:r>
                </w:p>
              </w:tc>
              <w:tc>
                <w:tcPr>
                  <w:tcW w:w="2977" w:type="dxa"/>
                </w:tcPr>
                <w:p w:rsidR="00330277" w:rsidRPr="00330277" w:rsidRDefault="00330277" w:rsidP="00330277">
                  <w:pPr>
                    <w:rPr>
                      <w:rFonts w:cstheme="minorHAnsi"/>
                    </w:rPr>
                  </w:pPr>
                  <w:r w:rsidRPr="00330277">
                    <w:rPr>
                      <w:rFonts w:cstheme="minorHAnsi"/>
                    </w:rPr>
                    <w:t>Malé zatížení; při nepříznivých okolnostech už může docházet k poškozením</w:t>
                  </w:r>
                </w:p>
              </w:tc>
            </w:tr>
            <w:tr w:rsidR="00330277" w:rsidRPr="00330277" w:rsidTr="00DF74E0">
              <w:tblPrEx>
                <w:tblCellMar>
                  <w:top w:w="0" w:type="dxa"/>
                  <w:bottom w:w="0" w:type="dxa"/>
                </w:tblCellMar>
              </w:tblPrEx>
              <w:tc>
                <w:tcPr>
                  <w:tcW w:w="3258" w:type="dxa"/>
                </w:tcPr>
                <w:p w:rsidR="00330277" w:rsidRPr="00330277" w:rsidRDefault="00330277" w:rsidP="00330277">
                  <w:pPr>
                    <w:rPr>
                      <w:rFonts w:cstheme="minorHAnsi"/>
                    </w:rPr>
                  </w:pPr>
                  <w:r w:rsidRPr="00330277">
                    <w:rPr>
                      <w:rFonts w:cstheme="minorHAnsi"/>
                    </w:rPr>
                    <w:t>III.</w:t>
                  </w:r>
                </w:p>
              </w:tc>
              <w:tc>
                <w:tcPr>
                  <w:tcW w:w="2977" w:type="dxa"/>
                </w:tcPr>
                <w:p w:rsidR="00330277" w:rsidRPr="00330277" w:rsidRDefault="00330277" w:rsidP="00330277">
                  <w:pPr>
                    <w:rPr>
                      <w:rFonts w:cstheme="minorHAnsi"/>
                    </w:rPr>
                  </w:pPr>
                  <w:r w:rsidRPr="00330277">
                    <w:rPr>
                      <w:rFonts w:cstheme="minorHAnsi"/>
                    </w:rPr>
                    <w:t>8-25 mmol/kg</w:t>
                  </w:r>
                </w:p>
              </w:tc>
              <w:tc>
                <w:tcPr>
                  <w:tcW w:w="2977" w:type="dxa"/>
                </w:tcPr>
                <w:p w:rsidR="00330277" w:rsidRPr="00330277" w:rsidRDefault="00330277" w:rsidP="00330277">
                  <w:pPr>
                    <w:rPr>
                      <w:rFonts w:cstheme="minorHAnsi"/>
                    </w:rPr>
                  </w:pPr>
                  <w:r w:rsidRPr="00330277">
                    <w:rPr>
                      <w:rFonts w:cstheme="minorHAnsi"/>
                    </w:rPr>
                    <w:t>Střední zatížení, při hygroskopických solích může docházet ke zvyšování zavlhčení zdiva; životnost omítek i povrchových úprav je už zkrácená</w:t>
                  </w:r>
                </w:p>
              </w:tc>
            </w:tr>
            <w:tr w:rsidR="00330277" w:rsidRPr="00330277" w:rsidTr="00DF74E0">
              <w:tblPrEx>
                <w:tblCellMar>
                  <w:top w:w="0" w:type="dxa"/>
                  <w:bottom w:w="0" w:type="dxa"/>
                </w:tblCellMar>
              </w:tblPrEx>
              <w:tc>
                <w:tcPr>
                  <w:tcW w:w="3258" w:type="dxa"/>
                </w:tcPr>
                <w:p w:rsidR="00330277" w:rsidRPr="00330277" w:rsidRDefault="00330277" w:rsidP="00330277">
                  <w:pPr>
                    <w:rPr>
                      <w:rFonts w:cstheme="minorHAnsi"/>
                    </w:rPr>
                  </w:pPr>
                  <w:r w:rsidRPr="00330277">
                    <w:rPr>
                      <w:rFonts w:cstheme="minorHAnsi"/>
                    </w:rPr>
                    <w:t>IV.</w:t>
                  </w:r>
                </w:p>
              </w:tc>
              <w:tc>
                <w:tcPr>
                  <w:tcW w:w="2977" w:type="dxa"/>
                </w:tcPr>
                <w:p w:rsidR="00330277" w:rsidRPr="00330277" w:rsidRDefault="00330277" w:rsidP="00330277">
                  <w:pPr>
                    <w:rPr>
                      <w:rFonts w:cstheme="minorHAnsi"/>
                    </w:rPr>
                  </w:pPr>
                  <w:r w:rsidRPr="00330277">
                    <w:rPr>
                      <w:rFonts w:cstheme="minorHAnsi"/>
                    </w:rPr>
                    <w:t>25-80 mmol/kg</w:t>
                  </w:r>
                </w:p>
              </w:tc>
              <w:tc>
                <w:tcPr>
                  <w:tcW w:w="2977" w:type="dxa"/>
                </w:tcPr>
                <w:p w:rsidR="00330277" w:rsidRPr="00330277" w:rsidRDefault="00330277" w:rsidP="00330277">
                  <w:pPr>
                    <w:rPr>
                      <w:rFonts w:cstheme="minorHAnsi"/>
                    </w:rPr>
                  </w:pPr>
                  <w:r w:rsidRPr="00330277">
                    <w:rPr>
                      <w:rFonts w:cstheme="minorHAnsi"/>
                    </w:rPr>
                    <w:t xml:space="preserve">Vysoké zatížení; životnost omítek i nátěrů je značně omezená; i přes účinná opatření proti vzlínající vlhkosti nedojde k úplnému vysušení zdiva </w:t>
                  </w:r>
                </w:p>
              </w:tc>
            </w:tr>
            <w:tr w:rsidR="00330277" w:rsidRPr="00330277" w:rsidTr="00DF74E0">
              <w:tblPrEx>
                <w:tblCellMar>
                  <w:top w:w="0" w:type="dxa"/>
                  <w:bottom w:w="0" w:type="dxa"/>
                </w:tblCellMar>
              </w:tblPrEx>
              <w:tc>
                <w:tcPr>
                  <w:tcW w:w="3258" w:type="dxa"/>
                </w:tcPr>
                <w:p w:rsidR="00330277" w:rsidRPr="00330277" w:rsidRDefault="00330277" w:rsidP="00330277">
                  <w:pPr>
                    <w:rPr>
                      <w:rFonts w:cstheme="minorHAnsi"/>
                    </w:rPr>
                  </w:pPr>
                  <w:r w:rsidRPr="00330277">
                    <w:rPr>
                      <w:rFonts w:cstheme="minorHAnsi"/>
                    </w:rPr>
                    <w:t>V.</w:t>
                  </w:r>
                </w:p>
              </w:tc>
              <w:tc>
                <w:tcPr>
                  <w:tcW w:w="2977" w:type="dxa"/>
                </w:tcPr>
                <w:p w:rsidR="00330277" w:rsidRPr="00330277" w:rsidRDefault="00330277" w:rsidP="00330277">
                  <w:pPr>
                    <w:rPr>
                      <w:rFonts w:cstheme="minorHAnsi"/>
                    </w:rPr>
                  </w:pPr>
                  <w:r w:rsidRPr="00330277">
                    <w:rPr>
                      <w:rFonts w:cstheme="minorHAnsi"/>
                    </w:rPr>
                    <w:t>nad 80 mmol/kg</w:t>
                  </w:r>
                </w:p>
              </w:tc>
              <w:tc>
                <w:tcPr>
                  <w:tcW w:w="2977" w:type="dxa"/>
                </w:tcPr>
                <w:p w:rsidR="00330277" w:rsidRPr="00330277" w:rsidRDefault="00330277" w:rsidP="00330277">
                  <w:pPr>
                    <w:rPr>
                      <w:rFonts w:cstheme="minorHAnsi"/>
                    </w:rPr>
                  </w:pPr>
                  <w:r w:rsidRPr="00330277">
                    <w:rPr>
                      <w:rFonts w:cstheme="minorHAnsi"/>
                    </w:rPr>
                    <w:t>Extrémní zatížení; poškození vznikají v průběhu krátké doby; vysoká míra hygroskopického zavlhčení</w:t>
                  </w:r>
                </w:p>
              </w:tc>
              <w:bookmarkStart w:id="0" w:name="_GoBack"/>
              <w:bookmarkEnd w:id="0"/>
            </w:tr>
          </w:tbl>
          <w:p w:rsidR="00330277" w:rsidRPr="00330277" w:rsidRDefault="00330277" w:rsidP="00330277">
            <w:pPr>
              <w:rPr>
                <w:rFonts w:cstheme="minorHAnsi"/>
              </w:rPr>
            </w:pPr>
          </w:p>
          <w:p w:rsidR="00330277" w:rsidRPr="00330277" w:rsidRDefault="00330277" w:rsidP="00330277">
            <w:pPr>
              <w:rPr>
                <w:rFonts w:cstheme="minorHAnsi"/>
                <w:i/>
              </w:rPr>
            </w:pPr>
          </w:p>
          <w:p w:rsidR="00330277" w:rsidRPr="00330277" w:rsidRDefault="00330277" w:rsidP="00330277">
            <w:pPr>
              <w:rPr>
                <w:rFonts w:cstheme="minorHAnsi"/>
                <w:color w:val="000000"/>
              </w:rPr>
            </w:pPr>
          </w:p>
          <w:p w:rsidR="00330277" w:rsidRPr="00330277" w:rsidRDefault="00330277" w:rsidP="008862E7">
            <w:pPr>
              <w:rPr>
                <w:rFonts w:cstheme="minorHAnsi"/>
              </w:rPr>
            </w:pPr>
          </w:p>
          <w:p w:rsidR="00862742" w:rsidRPr="00330277" w:rsidRDefault="00862742" w:rsidP="008862E7">
            <w:pPr>
              <w:rPr>
                <w:rFonts w:cstheme="minorHAnsi"/>
              </w:rPr>
            </w:pPr>
          </w:p>
          <w:p w:rsidR="00862742" w:rsidRPr="00330277" w:rsidRDefault="00862742" w:rsidP="008862E7">
            <w:pPr>
              <w:rPr>
                <w:rFonts w:cstheme="minorHAnsi"/>
              </w:rPr>
            </w:pPr>
          </w:p>
          <w:p w:rsidR="00862742" w:rsidRPr="00330277" w:rsidRDefault="00862742" w:rsidP="008862E7">
            <w:pPr>
              <w:rPr>
                <w:rFonts w:cstheme="minorHAnsi"/>
              </w:rPr>
            </w:pPr>
          </w:p>
        </w:tc>
      </w:tr>
    </w:tbl>
    <w:p w:rsidR="009A03AE" w:rsidRPr="00330277"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30277" w:rsidTr="00CF54D3">
        <w:tc>
          <w:tcPr>
            <w:tcW w:w="10060" w:type="dxa"/>
          </w:tcPr>
          <w:p w:rsidR="00AA48FC" w:rsidRPr="00330277" w:rsidRDefault="00AA48FC" w:rsidP="008862E7">
            <w:pPr>
              <w:rPr>
                <w:rFonts w:cstheme="minorHAnsi"/>
                <w:b/>
              </w:rPr>
            </w:pPr>
            <w:r w:rsidRPr="00330277">
              <w:rPr>
                <w:rFonts w:cstheme="minorHAnsi"/>
                <w:b/>
              </w:rPr>
              <w:t>Fotodokumentace analýzy</w:t>
            </w:r>
          </w:p>
        </w:tc>
      </w:tr>
      <w:tr w:rsidR="00AA48FC" w:rsidRPr="00330277" w:rsidTr="00CF54D3">
        <w:tc>
          <w:tcPr>
            <w:tcW w:w="10060" w:type="dxa"/>
          </w:tcPr>
          <w:p w:rsidR="00AA48FC" w:rsidRPr="00330277" w:rsidRDefault="00AA48FC" w:rsidP="008862E7">
            <w:pPr>
              <w:rPr>
                <w:rFonts w:cstheme="minorHAnsi"/>
              </w:rPr>
            </w:pPr>
          </w:p>
        </w:tc>
      </w:tr>
    </w:tbl>
    <w:p w:rsidR="0022194F" w:rsidRPr="00330277" w:rsidRDefault="0022194F" w:rsidP="008862E7">
      <w:pPr>
        <w:spacing w:line="240" w:lineRule="auto"/>
        <w:rPr>
          <w:rFonts w:cstheme="minorHAnsi"/>
        </w:rPr>
      </w:pPr>
    </w:p>
    <w:sectPr w:rsidR="0022194F" w:rsidRPr="00330277"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62" w:rsidRDefault="00173562" w:rsidP="00AA48FC">
      <w:pPr>
        <w:spacing w:after="0" w:line="240" w:lineRule="auto"/>
      </w:pPr>
      <w:r>
        <w:separator/>
      </w:r>
    </w:p>
  </w:endnote>
  <w:endnote w:type="continuationSeparator" w:id="0">
    <w:p w:rsidR="00173562" w:rsidRDefault="0017356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62" w:rsidRDefault="00173562" w:rsidP="00AA48FC">
      <w:pPr>
        <w:spacing w:after="0" w:line="240" w:lineRule="auto"/>
      </w:pPr>
      <w:r>
        <w:separator/>
      </w:r>
    </w:p>
  </w:footnote>
  <w:footnote w:type="continuationSeparator" w:id="0">
    <w:p w:rsidR="00173562" w:rsidRDefault="00173562" w:rsidP="00AA48FC">
      <w:pPr>
        <w:spacing w:after="0" w:line="240" w:lineRule="auto"/>
      </w:pPr>
      <w:r>
        <w:continuationSeparator/>
      </w:r>
    </w:p>
  </w:footnote>
  <w:footnote w:id="1">
    <w:p w:rsidR="00330277" w:rsidRDefault="00330277" w:rsidP="00330277">
      <w:pPr>
        <w:pStyle w:val="Textpoznpodarou"/>
      </w:pPr>
      <w:r>
        <w:rPr>
          <w:rStyle w:val="Znakapoznpodarou"/>
        </w:rPr>
        <w:footnoteRef/>
      </w:r>
      <w:r>
        <w:t xml:space="preserve"> Označení podle fotogrammetricky zpracované vizualizace kašny z průzkumové zprávy zpracované Fakultou restaurování v květnu roku 2009 (odpovědný restaurátor Mgr Art. Jakub Ďoubal)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0D78AD"/>
    <w:rsid w:val="00173562"/>
    <w:rsid w:val="001F20A2"/>
    <w:rsid w:val="0021097B"/>
    <w:rsid w:val="0022194F"/>
    <w:rsid w:val="002A6926"/>
    <w:rsid w:val="00330277"/>
    <w:rsid w:val="003D0950"/>
    <w:rsid w:val="0052310B"/>
    <w:rsid w:val="005A54E0"/>
    <w:rsid w:val="005C155B"/>
    <w:rsid w:val="00605E72"/>
    <w:rsid w:val="00862742"/>
    <w:rsid w:val="008862E7"/>
    <w:rsid w:val="009A03AE"/>
    <w:rsid w:val="00AA48FC"/>
    <w:rsid w:val="00BF132F"/>
    <w:rsid w:val="00C30ACE"/>
    <w:rsid w:val="00C624F1"/>
    <w:rsid w:val="00C74C8C"/>
    <w:rsid w:val="00CC1EA8"/>
    <w:rsid w:val="00CF54D3"/>
    <w:rsid w:val="00E002B0"/>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C5EB"/>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330277"/>
    <w:pPr>
      <w:keepNext/>
      <w:spacing w:after="0" w:line="240" w:lineRule="auto"/>
      <w:jc w:val="center"/>
      <w:outlineLvl w:val="2"/>
    </w:pPr>
    <w:rPr>
      <w:rFonts w:ascii="Times New Roman" w:eastAsia="Times New Roman" w:hAnsi="Times New Roman" w:cs="Times New Roman"/>
      <w:b/>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styleId="Hypertextovodkaz">
    <w:name w:val="Hyperlink"/>
    <w:basedOn w:val="Standardnpsmoodstavce"/>
    <w:uiPriority w:val="99"/>
    <w:semiHidden/>
    <w:unhideWhenUsed/>
    <w:rsid w:val="00862742"/>
    <w:rPr>
      <w:color w:val="0563C1"/>
      <w:u w:val="single"/>
    </w:rPr>
  </w:style>
  <w:style w:type="paragraph" w:styleId="Textpoznpodarou">
    <w:name w:val="footnote text"/>
    <w:basedOn w:val="Normln"/>
    <w:link w:val="TextpoznpodarouChar"/>
    <w:semiHidden/>
    <w:rsid w:val="00330277"/>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330277"/>
    <w:rPr>
      <w:rFonts w:ascii="Times New Roman" w:eastAsia="Times New Roman" w:hAnsi="Times New Roman" w:cs="Times New Roman"/>
      <w:sz w:val="20"/>
      <w:szCs w:val="20"/>
      <w:lang w:eastAsia="cs-CZ"/>
    </w:rPr>
  </w:style>
  <w:style w:type="character" w:styleId="Znakapoznpodarou">
    <w:name w:val="footnote reference"/>
    <w:semiHidden/>
    <w:rsid w:val="00330277"/>
    <w:rPr>
      <w:vertAlign w:val="superscript"/>
    </w:rPr>
  </w:style>
  <w:style w:type="character" w:customStyle="1" w:styleId="Nadpis3Char">
    <w:name w:val="Nadpis 3 Char"/>
    <w:basedOn w:val="Standardnpsmoodstavce"/>
    <w:link w:val="Nadpis3"/>
    <w:rsid w:val="00330277"/>
    <w:rPr>
      <w:rFonts w:ascii="Times New Roman" w:eastAsia="Times New Roman" w:hAnsi="Times New Roman" w:cs="Times New Roman"/>
      <w:b/>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6255">
      <w:bodyDiv w:val="1"/>
      <w:marLeft w:val="0"/>
      <w:marRight w:val="0"/>
      <w:marTop w:val="0"/>
      <w:marBottom w:val="0"/>
      <w:divBdr>
        <w:top w:val="none" w:sz="0" w:space="0" w:color="auto"/>
        <w:left w:val="none" w:sz="0" w:space="0" w:color="auto"/>
        <w:bottom w:val="none" w:sz="0" w:space="0" w:color="auto"/>
        <w:right w:val="none" w:sz="0" w:space="0" w:color="auto"/>
      </w:divBdr>
    </w:div>
    <w:div w:id="133301962">
      <w:bodyDiv w:val="1"/>
      <w:marLeft w:val="0"/>
      <w:marRight w:val="0"/>
      <w:marTop w:val="0"/>
      <w:marBottom w:val="0"/>
      <w:divBdr>
        <w:top w:val="none" w:sz="0" w:space="0" w:color="auto"/>
        <w:left w:val="none" w:sz="0" w:space="0" w:color="auto"/>
        <w:bottom w:val="none" w:sz="0" w:space="0" w:color="auto"/>
        <w:right w:val="none" w:sz="0" w:space="0" w:color="auto"/>
      </w:divBdr>
    </w:div>
    <w:div w:id="140657252">
      <w:bodyDiv w:val="1"/>
      <w:marLeft w:val="0"/>
      <w:marRight w:val="0"/>
      <w:marTop w:val="0"/>
      <w:marBottom w:val="0"/>
      <w:divBdr>
        <w:top w:val="none" w:sz="0" w:space="0" w:color="auto"/>
        <w:left w:val="none" w:sz="0" w:space="0" w:color="auto"/>
        <w:bottom w:val="none" w:sz="0" w:space="0" w:color="auto"/>
        <w:right w:val="none" w:sz="0" w:space="0" w:color="auto"/>
      </w:divBdr>
    </w:div>
    <w:div w:id="474030685">
      <w:bodyDiv w:val="1"/>
      <w:marLeft w:val="0"/>
      <w:marRight w:val="0"/>
      <w:marTop w:val="0"/>
      <w:marBottom w:val="0"/>
      <w:divBdr>
        <w:top w:val="none" w:sz="0" w:space="0" w:color="auto"/>
        <w:left w:val="none" w:sz="0" w:space="0" w:color="auto"/>
        <w:bottom w:val="none" w:sz="0" w:space="0" w:color="auto"/>
        <w:right w:val="none" w:sz="0" w:space="0" w:color="auto"/>
      </w:divBdr>
    </w:div>
    <w:div w:id="650250922">
      <w:bodyDiv w:val="1"/>
      <w:marLeft w:val="0"/>
      <w:marRight w:val="0"/>
      <w:marTop w:val="0"/>
      <w:marBottom w:val="0"/>
      <w:divBdr>
        <w:top w:val="none" w:sz="0" w:space="0" w:color="auto"/>
        <w:left w:val="none" w:sz="0" w:space="0" w:color="auto"/>
        <w:bottom w:val="none" w:sz="0" w:space="0" w:color="auto"/>
        <w:right w:val="none" w:sz="0" w:space="0" w:color="auto"/>
      </w:divBdr>
    </w:div>
    <w:div w:id="1000735477">
      <w:bodyDiv w:val="1"/>
      <w:marLeft w:val="0"/>
      <w:marRight w:val="0"/>
      <w:marTop w:val="0"/>
      <w:marBottom w:val="0"/>
      <w:divBdr>
        <w:top w:val="none" w:sz="0" w:space="0" w:color="auto"/>
        <w:left w:val="none" w:sz="0" w:space="0" w:color="auto"/>
        <w:bottom w:val="none" w:sz="0" w:space="0" w:color="auto"/>
        <w:right w:val="none" w:sz="0" w:space="0" w:color="auto"/>
      </w:divBdr>
    </w:div>
    <w:div w:id="1051072145">
      <w:bodyDiv w:val="1"/>
      <w:marLeft w:val="0"/>
      <w:marRight w:val="0"/>
      <w:marTop w:val="0"/>
      <w:marBottom w:val="0"/>
      <w:divBdr>
        <w:top w:val="none" w:sz="0" w:space="0" w:color="auto"/>
        <w:left w:val="none" w:sz="0" w:space="0" w:color="auto"/>
        <w:bottom w:val="none" w:sz="0" w:space="0" w:color="auto"/>
        <w:right w:val="none" w:sz="0" w:space="0" w:color="auto"/>
      </w:divBdr>
    </w:div>
    <w:div w:id="1429765631">
      <w:bodyDiv w:val="1"/>
      <w:marLeft w:val="0"/>
      <w:marRight w:val="0"/>
      <w:marTop w:val="0"/>
      <w:marBottom w:val="0"/>
      <w:divBdr>
        <w:top w:val="none" w:sz="0" w:space="0" w:color="auto"/>
        <w:left w:val="none" w:sz="0" w:space="0" w:color="auto"/>
        <w:bottom w:val="none" w:sz="0" w:space="0" w:color="auto"/>
        <w:right w:val="none" w:sz="0" w:space="0" w:color="auto"/>
      </w:divBdr>
    </w:div>
    <w:div w:id="1662930033">
      <w:bodyDiv w:val="1"/>
      <w:marLeft w:val="0"/>
      <w:marRight w:val="0"/>
      <w:marTop w:val="0"/>
      <w:marBottom w:val="0"/>
      <w:divBdr>
        <w:top w:val="none" w:sz="0" w:space="0" w:color="auto"/>
        <w:left w:val="none" w:sz="0" w:space="0" w:color="auto"/>
        <w:bottom w:val="none" w:sz="0" w:space="0" w:color="auto"/>
        <w:right w:val="none" w:sz="0" w:space="0" w:color="auto"/>
      </w:divBdr>
    </w:div>
    <w:div w:id="20157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ata\elbe1230\OneDrive%20-%20Univerzita%20Pardubice\Plocha\KAPR\Pomocn&#233;%20tabulky%20KAPR.xlsx"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1161</Words>
  <Characters>6854</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2021-12-21T11:04:00Z</dcterms:created>
  <dcterms:modified xsi:type="dcterms:W3CDTF">2021-12-22T09:57:00Z</dcterms:modified>
</cp:coreProperties>
</file>