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9129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213"/>
        <w:gridCol w:w="6847"/>
      </w:tblGrid>
      <w:tr w:rsidR="00821499" w:rsidRPr="00D91293" w14:paraId="308E4BCF" w14:textId="77777777" w:rsidTr="00CF54D3">
        <w:tc>
          <w:tcPr>
            <w:tcW w:w="4606" w:type="dxa"/>
          </w:tcPr>
          <w:p w14:paraId="42DD7B2F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D366165" w:rsidR="0022194F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67</w:t>
            </w:r>
            <w:r w:rsidR="008C4AD7">
              <w:rPr>
                <w:rFonts w:cstheme="minorHAnsi"/>
              </w:rPr>
              <w:t>3</w:t>
            </w:r>
            <w:r w:rsidR="00D73917">
              <w:rPr>
                <w:rFonts w:cstheme="minorHAnsi"/>
              </w:rPr>
              <w:t>4</w:t>
            </w:r>
          </w:p>
        </w:tc>
      </w:tr>
      <w:tr w:rsidR="00821499" w:rsidRPr="00D91293" w14:paraId="616D8CF9" w14:textId="77777777" w:rsidTr="00CF54D3">
        <w:tc>
          <w:tcPr>
            <w:tcW w:w="4606" w:type="dxa"/>
          </w:tcPr>
          <w:p w14:paraId="5DFEFE58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66F73D1" w:rsidR="0022194F" w:rsidRPr="00D91293" w:rsidRDefault="00D91293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J</w:t>
            </w:r>
            <w:r w:rsidR="00A3049A" w:rsidRPr="00D91293">
              <w:rPr>
                <w:rFonts w:cstheme="minorHAnsi"/>
              </w:rPr>
              <w:t>v</w:t>
            </w:r>
            <w:r w:rsidR="00D73917">
              <w:rPr>
                <w:rFonts w:cstheme="minorHAnsi"/>
              </w:rPr>
              <w:t>9</w:t>
            </w:r>
          </w:p>
        </w:tc>
      </w:tr>
      <w:tr w:rsidR="00821499" w:rsidRPr="00D91293" w14:paraId="106D8ED7" w14:textId="77777777" w:rsidTr="00CF54D3">
        <w:tc>
          <w:tcPr>
            <w:tcW w:w="4606" w:type="dxa"/>
          </w:tcPr>
          <w:p w14:paraId="42C61C07" w14:textId="77777777" w:rsidR="00AA48FC" w:rsidRPr="00D91293" w:rsidRDefault="00AA48FC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 xml:space="preserve">Pořadové číslo karty vzorku v </w:t>
            </w:r>
            <w:r w:rsidR="000A6440" w:rsidRPr="00D9129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5279488" w:rsidR="00AA48FC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20</w:t>
            </w:r>
            <w:r w:rsidR="00502F8C">
              <w:rPr>
                <w:rFonts w:cstheme="minorHAnsi"/>
              </w:rPr>
              <w:t>7</w:t>
            </w:r>
            <w:r w:rsidR="00D73917">
              <w:rPr>
                <w:rFonts w:cstheme="minorHAnsi"/>
              </w:rPr>
              <w:t>6</w:t>
            </w:r>
          </w:p>
        </w:tc>
      </w:tr>
      <w:tr w:rsidR="00821499" w:rsidRPr="00D91293" w14:paraId="32CF643C" w14:textId="77777777" w:rsidTr="00CF54D3">
        <w:tc>
          <w:tcPr>
            <w:tcW w:w="4606" w:type="dxa"/>
          </w:tcPr>
          <w:p w14:paraId="560D95E3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FF8772F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Praha, Juditina věž při Karlově mostě</w:t>
            </w:r>
          </w:p>
        </w:tc>
      </w:tr>
      <w:tr w:rsidR="00821499" w:rsidRPr="00D91293" w14:paraId="7F8D2B97" w14:textId="77777777" w:rsidTr="00CF54D3">
        <w:tc>
          <w:tcPr>
            <w:tcW w:w="4606" w:type="dxa"/>
          </w:tcPr>
          <w:p w14:paraId="59451275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0B5229A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Románský reliéf na Juditině věži</w:t>
            </w:r>
          </w:p>
        </w:tc>
      </w:tr>
      <w:tr w:rsidR="00821499" w:rsidRPr="00D91293" w14:paraId="54033E58" w14:textId="77777777" w:rsidTr="00CF54D3">
        <w:tc>
          <w:tcPr>
            <w:tcW w:w="4606" w:type="dxa"/>
          </w:tcPr>
          <w:p w14:paraId="65CE29A7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13BD88E0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9540" w:dyaOrig="4230" w14:anchorId="4E8328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1.5pt;height:147pt" o:ole="">
                  <v:imagedata r:id="rId7" o:title=""/>
                </v:shape>
                <o:OLEObject Type="Embed" ProgID="PBrush" ShapeID="_x0000_i1025" DrawAspect="Content" ObjectID="_1735460125" r:id="rId8"/>
              </w:object>
            </w:r>
          </w:p>
        </w:tc>
      </w:tr>
      <w:tr w:rsidR="00821499" w:rsidRPr="00D91293" w14:paraId="5E1A21DD" w14:textId="77777777" w:rsidTr="00CF54D3">
        <w:tc>
          <w:tcPr>
            <w:tcW w:w="4606" w:type="dxa"/>
          </w:tcPr>
          <w:p w14:paraId="1B7B8745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38FE6394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5355" w:dyaOrig="6555" w14:anchorId="466A48FB">
                <v:shape id="_x0000_i1026" type="#_x0000_t75" style="width:240.75pt;height:294.75pt" o:ole="">
                  <v:imagedata r:id="rId9" o:title=""/>
                </v:shape>
                <o:OLEObject Type="Embed" ProgID="PBrush" ShapeID="_x0000_i1026" DrawAspect="Content" ObjectID="_1735460126" r:id="rId10"/>
              </w:object>
            </w:r>
          </w:p>
        </w:tc>
      </w:tr>
      <w:tr w:rsidR="00821499" w:rsidRPr="00D91293" w14:paraId="0ACABA34" w14:textId="77777777" w:rsidTr="00CF54D3">
        <w:tc>
          <w:tcPr>
            <w:tcW w:w="4606" w:type="dxa"/>
          </w:tcPr>
          <w:p w14:paraId="2B920B9B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5BEAE3A6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Zdivo</w:t>
            </w:r>
          </w:p>
        </w:tc>
      </w:tr>
      <w:tr w:rsidR="00821499" w:rsidRPr="00D91293" w14:paraId="7715CB8F" w14:textId="77777777" w:rsidTr="00CF54D3">
        <w:tc>
          <w:tcPr>
            <w:tcW w:w="4606" w:type="dxa"/>
          </w:tcPr>
          <w:p w14:paraId="1E56020F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D8FBC5A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Kámen</w:t>
            </w:r>
          </w:p>
        </w:tc>
      </w:tr>
      <w:tr w:rsidR="00821499" w:rsidRPr="00D91293" w14:paraId="20A918C5" w14:textId="77777777" w:rsidTr="00CF54D3">
        <w:tc>
          <w:tcPr>
            <w:tcW w:w="4606" w:type="dxa"/>
          </w:tcPr>
          <w:p w14:paraId="1A2F26B6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Datace</w:t>
            </w:r>
            <w:r w:rsidR="00AA48FC" w:rsidRPr="00D9129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D91293" w:rsidRDefault="0022194F" w:rsidP="00821499">
            <w:pPr>
              <w:rPr>
                <w:rFonts w:cstheme="minorHAnsi"/>
              </w:rPr>
            </w:pPr>
          </w:p>
        </w:tc>
      </w:tr>
      <w:tr w:rsidR="00821499" w:rsidRPr="00D91293" w14:paraId="0BF9C387" w14:textId="77777777" w:rsidTr="00CF54D3">
        <w:tc>
          <w:tcPr>
            <w:tcW w:w="4606" w:type="dxa"/>
          </w:tcPr>
          <w:p w14:paraId="12280DD1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F474652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Bayer Karol</w:t>
            </w:r>
          </w:p>
        </w:tc>
      </w:tr>
      <w:tr w:rsidR="00821499" w:rsidRPr="00D91293" w14:paraId="3B388C43" w14:textId="77777777" w:rsidTr="00CF54D3">
        <w:tc>
          <w:tcPr>
            <w:tcW w:w="4606" w:type="dxa"/>
          </w:tcPr>
          <w:p w14:paraId="07CED6AE" w14:textId="77777777" w:rsidR="0022194F" w:rsidRPr="00D91293" w:rsidRDefault="0022194F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Datum zpracování zprávy</w:t>
            </w:r>
            <w:r w:rsidR="00AA48FC" w:rsidRPr="00D9129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6A666D4" w:rsidR="0022194F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24. 4. 2013</w:t>
            </w:r>
          </w:p>
        </w:tc>
      </w:tr>
      <w:tr w:rsidR="005A54E0" w:rsidRPr="00D91293" w14:paraId="39B656B6" w14:textId="77777777" w:rsidTr="00CF54D3">
        <w:tc>
          <w:tcPr>
            <w:tcW w:w="4606" w:type="dxa"/>
          </w:tcPr>
          <w:p w14:paraId="0369BDA3" w14:textId="77777777" w:rsidR="005A54E0" w:rsidRPr="00D91293" w:rsidRDefault="005A54E0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Číslo příslušné zprávy v </w:t>
            </w:r>
            <w:r w:rsidR="000A6440" w:rsidRPr="00D91293">
              <w:rPr>
                <w:rFonts w:cstheme="minorHAnsi"/>
                <w:b/>
              </w:rPr>
              <w:t>databázi</w:t>
            </w:r>
            <w:r w:rsidRPr="00D9129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0DE00A7" w:rsidR="005A54E0" w:rsidRPr="00D91293" w:rsidRDefault="00536347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t>2013_18</w:t>
            </w:r>
          </w:p>
        </w:tc>
      </w:tr>
    </w:tbl>
    <w:p w14:paraId="2329459B" w14:textId="77777777" w:rsidR="00AA48FC" w:rsidRPr="00D9129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91293" w14:paraId="5F13C4C5" w14:textId="77777777" w:rsidTr="00CF54D3">
        <w:tc>
          <w:tcPr>
            <w:tcW w:w="10060" w:type="dxa"/>
          </w:tcPr>
          <w:p w14:paraId="01601BB6" w14:textId="77777777" w:rsidR="00AA48FC" w:rsidRPr="00D91293" w:rsidRDefault="00AA48FC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Výsledky analýzy</w:t>
            </w:r>
          </w:p>
        </w:tc>
      </w:tr>
      <w:tr w:rsidR="00AA48FC" w:rsidRPr="00D91293" w14:paraId="40D63742" w14:textId="77777777" w:rsidTr="00CF54D3">
        <w:tc>
          <w:tcPr>
            <w:tcW w:w="10060" w:type="dxa"/>
          </w:tcPr>
          <w:p w14:paraId="1C89CE2F" w14:textId="4C93433E" w:rsidR="00AA48FC" w:rsidRDefault="00AA48FC" w:rsidP="00821499">
            <w:pPr>
              <w:rPr>
                <w:rFonts w:cstheme="minorHAnsi"/>
              </w:rPr>
            </w:pPr>
          </w:p>
          <w:p w14:paraId="488771FF" w14:textId="388B83B3" w:rsidR="00E271B4" w:rsidRDefault="00D73917" w:rsidP="00821499">
            <w:pPr>
              <w:rPr>
                <w:rFonts w:cstheme="minorHAnsi"/>
              </w:rPr>
            </w:pPr>
            <w:r>
              <w:object w:dxaOrig="9495" w:dyaOrig="9405" w14:anchorId="48FD4D4E">
                <v:shape id="_x0000_i1041" type="#_x0000_t75" style="width:474.75pt;height:470.25pt" o:ole="">
                  <v:imagedata r:id="rId11" o:title=""/>
                </v:shape>
                <o:OLEObject Type="Embed" ProgID="PBrush" ShapeID="_x0000_i1041" DrawAspect="Content" ObjectID="_1735460127" r:id="rId12"/>
              </w:object>
            </w:r>
          </w:p>
          <w:p w14:paraId="474956FD" w14:textId="2D67D628" w:rsidR="00182E78" w:rsidRDefault="00182E78" w:rsidP="00821499">
            <w:pPr>
              <w:rPr>
                <w:rFonts w:cstheme="minorHAnsi"/>
              </w:rPr>
            </w:pPr>
          </w:p>
          <w:p w14:paraId="19DC5CE6" w14:textId="2162809D" w:rsidR="003F72C8" w:rsidRPr="00D91293" w:rsidRDefault="003F72C8" w:rsidP="00821499">
            <w:pPr>
              <w:rPr>
                <w:rFonts w:cstheme="minorHAnsi"/>
              </w:rPr>
            </w:pPr>
          </w:p>
          <w:p w14:paraId="4B29764E" w14:textId="77777777" w:rsidR="00D73917" w:rsidRPr="00D73917" w:rsidRDefault="00D73917" w:rsidP="00D73917">
            <w:pPr>
              <w:jc w:val="both"/>
              <w:rPr>
                <w:rFonts w:cstheme="minorHAnsi"/>
                <w:szCs w:val="24"/>
              </w:rPr>
            </w:pPr>
            <w:r w:rsidRPr="00D73917">
              <w:rPr>
                <w:rFonts w:cstheme="minorHAnsi"/>
                <w:szCs w:val="24"/>
              </w:rPr>
              <w:t xml:space="preserve">Shrnutí: </w:t>
            </w:r>
          </w:p>
          <w:p w14:paraId="10AC7BBC" w14:textId="77777777" w:rsidR="00D73917" w:rsidRPr="00D73917" w:rsidRDefault="00D73917" w:rsidP="00D73917">
            <w:pPr>
              <w:jc w:val="both"/>
              <w:rPr>
                <w:rFonts w:cstheme="minorHAnsi"/>
                <w:szCs w:val="24"/>
              </w:rPr>
            </w:pPr>
          </w:p>
          <w:p w14:paraId="44139644" w14:textId="77777777" w:rsidR="00D73917" w:rsidRPr="00D73917" w:rsidRDefault="00D73917" w:rsidP="00D73917">
            <w:pPr>
              <w:jc w:val="both"/>
              <w:rPr>
                <w:rFonts w:cstheme="minorHAnsi"/>
                <w:szCs w:val="24"/>
              </w:rPr>
            </w:pPr>
            <w:r w:rsidRPr="00D73917">
              <w:rPr>
                <w:rFonts w:cstheme="minorHAnsi"/>
                <w:szCs w:val="24"/>
              </w:rPr>
              <w:t xml:space="preserve">Základní hmota maltoviny je tvořena prakticky výlučně síranem vápenatým, jedná se tedy o sádrovou maltovinu. Neobsahuje žádné kamenivo nebo plnivo, co je v případě sádrových maltovin velmi časté. </w:t>
            </w:r>
          </w:p>
          <w:p w14:paraId="3E7886AB" w14:textId="77777777" w:rsidR="00D73917" w:rsidRPr="00D73917" w:rsidRDefault="00D73917" w:rsidP="00D73917">
            <w:pPr>
              <w:jc w:val="both"/>
              <w:rPr>
                <w:rFonts w:cstheme="minorHAnsi"/>
                <w:szCs w:val="24"/>
              </w:rPr>
            </w:pPr>
            <w:r w:rsidRPr="00D73917">
              <w:rPr>
                <w:rFonts w:cstheme="minorHAnsi"/>
                <w:szCs w:val="24"/>
              </w:rPr>
              <w:t xml:space="preserve">Na povrchu je hnědo-okrová barevná vrstva, která je pigmentovaná hlavně zemitými pigmenty (okry). </w:t>
            </w:r>
          </w:p>
          <w:p w14:paraId="30D33167" w14:textId="77777777" w:rsidR="00D73917" w:rsidRPr="008B5117" w:rsidRDefault="00D73917" w:rsidP="00D73917">
            <w:pPr>
              <w:jc w:val="both"/>
              <w:rPr>
                <w:rFonts w:ascii="Arial" w:hAnsi="Arial"/>
                <w:szCs w:val="24"/>
              </w:rPr>
            </w:pPr>
          </w:p>
          <w:p w14:paraId="2BA51676" w14:textId="6721F9F4" w:rsidR="00D91293" w:rsidRPr="00E271B4" w:rsidRDefault="00D91293" w:rsidP="00821499">
            <w:pPr>
              <w:rPr>
                <w:rFonts w:cstheme="minorHAnsi"/>
              </w:rPr>
            </w:pPr>
          </w:p>
          <w:p w14:paraId="02FBDA30" w14:textId="77777777" w:rsidR="00D91293" w:rsidRPr="00D91293" w:rsidRDefault="00D91293" w:rsidP="00A3049A">
            <w:pPr>
              <w:jc w:val="both"/>
              <w:rPr>
                <w:rFonts w:cstheme="minorHAnsi"/>
              </w:rPr>
            </w:pPr>
          </w:p>
          <w:p w14:paraId="1723E90F" w14:textId="1DF3DB95" w:rsidR="00A3049A" w:rsidRPr="00D91293" w:rsidRDefault="00A3049A" w:rsidP="00821499">
            <w:pPr>
              <w:rPr>
                <w:rFonts w:cstheme="minorHAnsi"/>
              </w:rPr>
            </w:pPr>
          </w:p>
          <w:p w14:paraId="2F3BB7CD" w14:textId="2106F0B1" w:rsidR="00A3049A" w:rsidRPr="00D91293" w:rsidRDefault="00A3049A" w:rsidP="00821499">
            <w:pPr>
              <w:rPr>
                <w:rFonts w:cstheme="minorHAnsi"/>
              </w:rPr>
            </w:pPr>
          </w:p>
          <w:p w14:paraId="71CAF32D" w14:textId="77777777" w:rsidR="00A3049A" w:rsidRPr="00D91293" w:rsidRDefault="00A3049A" w:rsidP="00A3049A">
            <w:pPr>
              <w:jc w:val="both"/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Zjištění stavu reliéfu metodou ultrazvukové transmise</w:t>
            </w:r>
          </w:p>
          <w:p w14:paraId="11DFFF42" w14:textId="77777777" w:rsidR="00A3049A" w:rsidRPr="00D91293" w:rsidRDefault="00A3049A" w:rsidP="00A3049A">
            <w:pPr>
              <w:jc w:val="both"/>
              <w:rPr>
                <w:rFonts w:cstheme="minorHAnsi"/>
                <w:b/>
              </w:rPr>
            </w:pPr>
          </w:p>
          <w:p w14:paraId="59504ED5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78ED22A2" w14:textId="77777777" w:rsidR="00A3049A" w:rsidRPr="00D91293" w:rsidRDefault="00A3049A" w:rsidP="00A3049A">
            <w:pPr>
              <w:rPr>
                <w:rFonts w:cstheme="minorHAnsi"/>
                <w:b/>
                <w:bCs/>
              </w:rPr>
            </w:pPr>
            <w:r w:rsidRPr="00D91293">
              <w:rPr>
                <w:rFonts w:cstheme="minorHAnsi"/>
                <w:b/>
                <w:bCs/>
              </w:rPr>
              <w:t>Výsledky měření:</w:t>
            </w:r>
          </w:p>
          <w:p w14:paraId="3C569836" w14:textId="77777777" w:rsidR="00A3049A" w:rsidRPr="00D91293" w:rsidRDefault="00A3049A" w:rsidP="00A3049A">
            <w:pPr>
              <w:rPr>
                <w:rFonts w:cstheme="minorHAnsi"/>
              </w:rPr>
            </w:pPr>
          </w:p>
          <w:p w14:paraId="611A3717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V tabulce je uvedeno místo měření, naměřený čas </w:t>
            </w:r>
            <w:r w:rsidRPr="00D91293">
              <w:rPr>
                <w:rFonts w:cstheme="minorHAnsi"/>
                <w:b/>
              </w:rPr>
              <w:t xml:space="preserve">t, </w:t>
            </w:r>
            <w:proofErr w:type="spellStart"/>
            <w:r w:rsidRPr="00D91293">
              <w:rPr>
                <w:rFonts w:cstheme="minorHAnsi"/>
                <w:b/>
                <w:color w:val="000000"/>
              </w:rPr>
              <w:t>t</w:t>
            </w:r>
            <w:r w:rsidRPr="00D91293">
              <w:rPr>
                <w:rFonts w:cstheme="minorHAnsi"/>
                <w:b/>
                <w:color w:val="000000"/>
                <w:vertAlign w:val="subscript"/>
              </w:rPr>
              <w:t>kor</w:t>
            </w:r>
            <w:proofErr w:type="spellEnd"/>
            <w:r w:rsidRPr="00D91293">
              <w:rPr>
                <w:rFonts w:cstheme="minorHAnsi"/>
                <w:color w:val="000000"/>
              </w:rPr>
              <w:t xml:space="preserve"> (naměřený čas po odečítaní korekce pro danou frekvenci), směr měření, </w:t>
            </w:r>
            <w:r w:rsidRPr="00D91293">
              <w:rPr>
                <w:rFonts w:cstheme="minorHAnsi"/>
              </w:rPr>
              <w:t xml:space="preserve">vzdálenost </w:t>
            </w:r>
            <w:r w:rsidRPr="00D91293">
              <w:rPr>
                <w:rFonts w:cstheme="minorHAnsi"/>
                <w:b/>
              </w:rPr>
              <w:t>d</w:t>
            </w:r>
            <w:r w:rsidRPr="00D91293">
              <w:rPr>
                <w:rFonts w:cstheme="minorHAnsi"/>
              </w:rPr>
              <w:t xml:space="preserve"> pro dané měření a rychlost ultrazvukového signálu </w:t>
            </w:r>
            <w:r w:rsidRPr="00D91293">
              <w:rPr>
                <w:rFonts w:cstheme="minorHAnsi"/>
                <w:b/>
              </w:rPr>
              <w:t>v</w:t>
            </w:r>
            <w:r w:rsidRPr="00D91293">
              <w:rPr>
                <w:rFonts w:cstheme="minorHAnsi"/>
              </w:rPr>
              <w:t>.</w:t>
            </w:r>
          </w:p>
          <w:p w14:paraId="45C067A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0154C2D8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lastRenderedPageBreak/>
              <w:t xml:space="preserve">Směry měření jsou udávány z hlediska čelního pohledu na měřený objekt: </w:t>
            </w:r>
            <w:proofErr w:type="spellStart"/>
            <w:r w:rsidRPr="00D91293">
              <w:rPr>
                <w:rFonts w:cstheme="minorHAnsi"/>
                <w:b/>
              </w:rPr>
              <w:t>lp</w:t>
            </w:r>
            <w:proofErr w:type="spellEnd"/>
            <w:r w:rsidRPr="00D91293">
              <w:rPr>
                <w:rFonts w:cstheme="minorHAnsi"/>
              </w:rPr>
              <w:t xml:space="preserve"> – horizontálně zleva doprava (nebo naopak); </w:t>
            </w:r>
            <w:proofErr w:type="spellStart"/>
            <w:r w:rsidRPr="00D91293">
              <w:rPr>
                <w:rFonts w:cstheme="minorHAnsi"/>
                <w:b/>
              </w:rPr>
              <w:t>pz</w:t>
            </w:r>
            <w:proofErr w:type="spellEnd"/>
            <w:r w:rsidRPr="00D91293">
              <w:rPr>
                <w:rFonts w:cstheme="minorHAnsi"/>
              </w:rPr>
              <w:t xml:space="preserve"> – horizontálně zpředu dozadu (nebo naopak); </w:t>
            </w:r>
          </w:p>
          <w:p w14:paraId="2BC377CA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proofErr w:type="spellStart"/>
            <w:r w:rsidRPr="00D91293">
              <w:rPr>
                <w:rFonts w:cstheme="minorHAnsi"/>
                <w:b/>
              </w:rPr>
              <w:t>vv</w:t>
            </w:r>
            <w:proofErr w:type="spellEnd"/>
            <w:r w:rsidRPr="00D91293">
              <w:rPr>
                <w:rFonts w:cstheme="minorHAnsi"/>
                <w:b/>
              </w:rPr>
              <w:t xml:space="preserve"> </w:t>
            </w:r>
            <w:r w:rsidRPr="00D91293">
              <w:rPr>
                <w:rFonts w:cstheme="minorHAnsi"/>
              </w:rPr>
              <w:t xml:space="preserve">– vertikálně. </w:t>
            </w:r>
          </w:p>
          <w:p w14:paraId="04D75761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543FDECB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Zkratky v poznámkách souvisejí s amplitudou nebo tvarem signálu: </w:t>
            </w:r>
            <w:proofErr w:type="spellStart"/>
            <w:r w:rsidRPr="00D91293">
              <w:rPr>
                <w:rFonts w:cstheme="minorHAnsi"/>
                <w:b/>
              </w:rPr>
              <w:t>vzas</w:t>
            </w:r>
            <w:proofErr w:type="spellEnd"/>
            <w:r w:rsidRPr="00D91293">
              <w:rPr>
                <w:rFonts w:cstheme="minorHAnsi"/>
              </w:rPr>
              <w:t xml:space="preserve"> – výrazně zeslabená amplituda </w:t>
            </w:r>
            <w:proofErr w:type="gramStart"/>
            <w:r w:rsidRPr="00D91293">
              <w:rPr>
                <w:rFonts w:cstheme="minorHAnsi"/>
              </w:rPr>
              <w:t xml:space="preserve">signálu,  </w:t>
            </w:r>
            <w:r w:rsidRPr="00D91293">
              <w:rPr>
                <w:rFonts w:cstheme="minorHAnsi"/>
                <w:b/>
              </w:rPr>
              <w:t>zas</w:t>
            </w:r>
            <w:proofErr w:type="gramEnd"/>
            <w:r w:rsidRPr="00D91293">
              <w:rPr>
                <w:rFonts w:cstheme="minorHAnsi"/>
              </w:rPr>
              <w:t xml:space="preserve"> – zeslabená amplituda signálu, </w:t>
            </w:r>
            <w:proofErr w:type="spellStart"/>
            <w:r w:rsidRPr="00D91293">
              <w:rPr>
                <w:rFonts w:cstheme="minorHAnsi"/>
                <w:b/>
              </w:rPr>
              <w:t>ds</w:t>
            </w:r>
            <w:proofErr w:type="spellEnd"/>
            <w:r w:rsidRPr="00D91293">
              <w:rPr>
                <w:rFonts w:cstheme="minorHAnsi"/>
              </w:rPr>
              <w:t xml:space="preserve"> – deformovaný signál. </w:t>
            </w:r>
          </w:p>
          <w:p w14:paraId="3152FCE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Neměřitelný signál je v tabulce označen zkratkou </w:t>
            </w:r>
            <w:proofErr w:type="spellStart"/>
            <w:r w:rsidRPr="00D91293">
              <w:rPr>
                <w:rFonts w:cstheme="minorHAnsi"/>
                <w:b/>
              </w:rPr>
              <w:t>ns</w:t>
            </w:r>
            <w:proofErr w:type="spellEnd"/>
            <w:r w:rsidRPr="00D91293">
              <w:rPr>
                <w:rFonts w:cstheme="minorHAnsi"/>
                <w:b/>
              </w:rPr>
              <w:t xml:space="preserve"> </w:t>
            </w:r>
            <w:r w:rsidRPr="00D91293">
              <w:rPr>
                <w:rFonts w:cstheme="minorHAnsi"/>
              </w:rPr>
              <w:t xml:space="preserve">(neměřitelný signál). </w:t>
            </w:r>
          </w:p>
          <w:p w14:paraId="57BE1D4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33757546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Tab.1. Výsledky měření </w:t>
            </w:r>
          </w:p>
          <w:p w14:paraId="4AC750B5" w14:textId="5B6FFE34" w:rsidR="00A3049A" w:rsidRPr="00D91293" w:rsidRDefault="00A3049A" w:rsidP="00821499">
            <w:pPr>
              <w:rPr>
                <w:rFonts w:cstheme="minorHAnsi"/>
              </w:rPr>
            </w:pPr>
          </w:p>
          <w:p w14:paraId="7277F18C" w14:textId="69914B85" w:rsidR="00A3049A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145" w:dyaOrig="7155" w14:anchorId="025748D2">
                <v:shape id="_x0000_i1028" type="#_x0000_t75" style="width:407.25pt;height:357.75pt" o:ole="">
                  <v:imagedata r:id="rId13" o:title=""/>
                </v:shape>
                <o:OLEObject Type="Embed" ProgID="PBrush" ShapeID="_x0000_i1028" DrawAspect="Content" ObjectID="_1735460128" r:id="rId14"/>
              </w:object>
            </w:r>
          </w:p>
          <w:p w14:paraId="23DBBA8C" w14:textId="77777777" w:rsidR="00A3049A" w:rsidRPr="00D91293" w:rsidRDefault="00A3049A" w:rsidP="00821499">
            <w:pPr>
              <w:rPr>
                <w:rFonts w:cstheme="minorHAnsi"/>
              </w:rPr>
            </w:pPr>
          </w:p>
          <w:p w14:paraId="2F285518" w14:textId="3955538F" w:rsidR="00A3049A" w:rsidRPr="00D91293" w:rsidRDefault="00A3049A" w:rsidP="00821499">
            <w:pPr>
              <w:rPr>
                <w:rFonts w:cstheme="minorHAnsi"/>
              </w:rPr>
            </w:pPr>
          </w:p>
          <w:p w14:paraId="197366A0" w14:textId="5CA0F95F" w:rsidR="00A3049A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160" w:dyaOrig="9960" w14:anchorId="5FB2778B">
                <v:shape id="_x0000_i1029" type="#_x0000_t75" style="width:408.75pt;height:498.75pt" o:ole="">
                  <v:imagedata r:id="rId15" o:title=""/>
                </v:shape>
                <o:OLEObject Type="Embed" ProgID="PBrush" ShapeID="_x0000_i1029" DrawAspect="Content" ObjectID="_1735460129" r:id="rId16"/>
              </w:object>
            </w:r>
          </w:p>
          <w:p w14:paraId="30FC9565" w14:textId="77777777" w:rsidR="00A3049A" w:rsidRPr="00D91293" w:rsidRDefault="00A3049A" w:rsidP="00821499">
            <w:pPr>
              <w:rPr>
                <w:rFonts w:cstheme="minorHAnsi"/>
              </w:rPr>
            </w:pPr>
          </w:p>
          <w:p w14:paraId="458C6A33" w14:textId="7FC0A695" w:rsidR="0065280A" w:rsidRPr="00D91293" w:rsidRDefault="0065280A" w:rsidP="00821499">
            <w:pPr>
              <w:rPr>
                <w:rFonts w:cstheme="minorHAnsi"/>
              </w:rPr>
            </w:pPr>
          </w:p>
          <w:p w14:paraId="36D30144" w14:textId="05178AA0" w:rsidR="0065280A" w:rsidRPr="00D91293" w:rsidRDefault="00A3049A" w:rsidP="00821499">
            <w:pPr>
              <w:rPr>
                <w:rFonts w:cstheme="minorHAnsi"/>
              </w:rPr>
            </w:pPr>
            <w:r w:rsidRPr="00D91293">
              <w:rPr>
                <w:rFonts w:cstheme="minorHAnsi"/>
              </w:rPr>
              <w:object w:dxaOrig="8010" w:dyaOrig="11190" w14:anchorId="7669C7ED">
                <v:shape id="_x0000_i1030" type="#_x0000_t75" style="width:401.25pt;height:559.5pt" o:ole="">
                  <v:imagedata r:id="rId17" o:title=""/>
                </v:shape>
                <o:OLEObject Type="Embed" ProgID="PBrush" ShapeID="_x0000_i1030" DrawAspect="Content" ObjectID="_1735460130" r:id="rId18"/>
              </w:object>
            </w:r>
          </w:p>
          <w:p w14:paraId="732DD405" w14:textId="402BC7FB" w:rsidR="00A3049A" w:rsidRPr="00D91293" w:rsidRDefault="00A3049A" w:rsidP="00821499">
            <w:pPr>
              <w:rPr>
                <w:rFonts w:cstheme="minorHAnsi"/>
              </w:rPr>
            </w:pPr>
          </w:p>
          <w:p w14:paraId="57457B6D" w14:textId="77777777" w:rsidR="00A3049A" w:rsidRPr="00D91293" w:rsidRDefault="00A3049A" w:rsidP="00A3049A">
            <w:pPr>
              <w:jc w:val="both"/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Vyhodnocení výsledků měření ultrazvukovou transmisí:</w:t>
            </w:r>
          </w:p>
          <w:p w14:paraId="1F9CE376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60CED7B1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Cílem měření bylo zjištění aktuálního stavu jednotlivých částí reliéfu a lokalizace případných poškození.  </w:t>
            </w:r>
          </w:p>
          <w:p w14:paraId="7A35997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754E115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EFD55E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Klečící postava</w:t>
            </w:r>
          </w:p>
          <w:p w14:paraId="67D6855E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2BC7554B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Naměřené hodnoty rychlostí UZ se pohybují </w:t>
            </w:r>
            <w:proofErr w:type="gramStart"/>
            <w:r w:rsidRPr="00D91293">
              <w:rPr>
                <w:rFonts w:cstheme="minorHAnsi"/>
              </w:rPr>
              <w:t>v  rozmezí</w:t>
            </w:r>
            <w:proofErr w:type="gramEnd"/>
            <w:r w:rsidRPr="00D91293">
              <w:rPr>
                <w:rFonts w:cstheme="minorHAnsi"/>
              </w:rPr>
              <w:t xml:space="preserve"> od 1,97 km/s po 3,22 km/s (i po zahrnutí výsledků měření na hlavě), průměrná rychlost pro měření na postavě bez započtení měření na hlavě (pozdější doplněk) a měření na místech s potenciálními poškozeními je 2,79 km/s.  Průměrná rychlost měření na hlavě (pozdější doplněk) je 2,50 km/s. </w:t>
            </w:r>
          </w:p>
          <w:p w14:paraId="191FF88A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Profil rychlostí UZ je vyrovnaný, měřením nebyla zjištěna případná korozní zóna na povrchu horniny. </w:t>
            </w:r>
          </w:p>
          <w:p w14:paraId="7A8E74E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lastRenderedPageBreak/>
              <w:t xml:space="preserve">Na několika místech lze předpokládat přítomnost prasklin nebo nehomogenních vrstev v hornině – lokálně v místech napojení doplňku hlavu na tělo postavy; levé předloktí; levé chodidlo a mezi levým kolenem a zadní částí postavy. </w:t>
            </w:r>
          </w:p>
          <w:p w14:paraId="46270F7E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Celkově lze stav této části reliéfu hodnotit jako poměrně dobrý. </w:t>
            </w:r>
          </w:p>
          <w:p w14:paraId="638A2552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5C69EBE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6FC4C4B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Trůnící postava</w:t>
            </w:r>
          </w:p>
          <w:p w14:paraId="6ABAF385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211D361F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Naměřené hodnoty rychlostí UZ se pohybují v rozmezí od 1,92 km/s po 3,49 km/s, průměrná rychlost je 2,75 km/s, co je rychlost velmi blízká průměrné rychlosti zjištěné na klečící postavě. </w:t>
            </w:r>
          </w:p>
          <w:p w14:paraId="78B1FFF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Profil rychlostí UZ je i v tomto případě vyrovnaný a měřením nebyla zjištěna případná korozní zóna na povrchu horniny. </w:t>
            </w:r>
          </w:p>
          <w:p w14:paraId="5FB5126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Případná poškození nebo přítomnost nehomogenních vrstev v hornině lze podle výsledků měření očekávat v bloku kamene pod koleny trůnící postavy. </w:t>
            </w:r>
          </w:p>
          <w:p w14:paraId="4090B0E5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Celkově lze podobně jako v případě klečící postavy hodnotit stav této části reliéfu jako poměrně dobrý.</w:t>
            </w:r>
          </w:p>
          <w:p w14:paraId="09DF1E1B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F92AE46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4934A3A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Bloky v nice</w:t>
            </w:r>
          </w:p>
          <w:p w14:paraId="0377DB1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281C165C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 xml:space="preserve">Měření bylo provedeno pouze jako srovnávací s cílem zjistit, zda byl použitý podobný nebo odlišný typ horniny jako na samotném reliéfu. </w:t>
            </w:r>
          </w:p>
          <w:p w14:paraId="58929293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  <w:r w:rsidRPr="00D91293">
              <w:rPr>
                <w:rFonts w:cstheme="minorHAnsi"/>
              </w:rPr>
              <w:t>Naměřené hodnoty rychlostí UZ se pohybují v rozmezí od 3,16 km/s po 4,28 km/s. Průměrná rychlost je 3,71 km/</w:t>
            </w:r>
            <w:proofErr w:type="gramStart"/>
            <w:r w:rsidRPr="00D91293">
              <w:rPr>
                <w:rFonts w:cstheme="minorHAnsi"/>
              </w:rPr>
              <w:t>s  a</w:t>
            </w:r>
            <w:proofErr w:type="gramEnd"/>
            <w:r w:rsidRPr="00D91293">
              <w:rPr>
                <w:rFonts w:cstheme="minorHAnsi"/>
              </w:rPr>
              <w:t xml:space="preserve"> lze téměř s jistotou tvrdit pro bloky v nice byl použitý odlišný typ nebo jiná varieta horniny jako pro zhotovení reliéfu. </w:t>
            </w:r>
          </w:p>
          <w:p w14:paraId="0A0DF25D" w14:textId="77777777" w:rsidR="00A3049A" w:rsidRPr="00D91293" w:rsidRDefault="00A3049A" w:rsidP="00A3049A">
            <w:pPr>
              <w:jc w:val="both"/>
              <w:rPr>
                <w:rFonts w:cstheme="minorHAnsi"/>
              </w:rPr>
            </w:pPr>
          </w:p>
          <w:p w14:paraId="6AA3C2C5" w14:textId="77777777" w:rsidR="00A3049A" w:rsidRPr="00D91293" w:rsidRDefault="00A3049A" w:rsidP="00821499">
            <w:pPr>
              <w:rPr>
                <w:rFonts w:cstheme="minorHAnsi"/>
              </w:rPr>
            </w:pPr>
          </w:p>
          <w:p w14:paraId="1470A77E" w14:textId="4A83216F" w:rsidR="0065280A" w:rsidRPr="00D9129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9129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91293" w14:paraId="6588E497" w14:textId="77777777" w:rsidTr="00CF54D3">
        <w:tc>
          <w:tcPr>
            <w:tcW w:w="10060" w:type="dxa"/>
          </w:tcPr>
          <w:p w14:paraId="6A3A9C3E" w14:textId="77777777" w:rsidR="00AA48FC" w:rsidRPr="00D91293" w:rsidRDefault="00AA48FC" w:rsidP="00821499">
            <w:pPr>
              <w:rPr>
                <w:rFonts w:cstheme="minorHAnsi"/>
                <w:b/>
              </w:rPr>
            </w:pPr>
            <w:r w:rsidRPr="00D9129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91293" w14:paraId="24BB7D60" w14:textId="77777777" w:rsidTr="00CF54D3">
        <w:tc>
          <w:tcPr>
            <w:tcW w:w="10060" w:type="dxa"/>
          </w:tcPr>
          <w:p w14:paraId="4FB66E8A" w14:textId="77777777" w:rsidR="00AA48FC" w:rsidRPr="00D9129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91293" w:rsidRDefault="0022194F" w:rsidP="00821499">
      <w:pPr>
        <w:spacing w:line="240" w:lineRule="auto"/>
        <w:rPr>
          <w:rFonts w:cstheme="minorHAnsi"/>
        </w:rPr>
      </w:pPr>
    </w:p>
    <w:sectPr w:rsidR="0022194F" w:rsidRPr="00D91293" w:rsidSect="002D1C03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B67D5" w14:textId="77777777" w:rsidR="00D45F5E" w:rsidRDefault="00D45F5E" w:rsidP="00AA48FC">
      <w:pPr>
        <w:spacing w:after="0" w:line="240" w:lineRule="auto"/>
      </w:pPr>
      <w:r>
        <w:separator/>
      </w:r>
    </w:p>
  </w:endnote>
  <w:endnote w:type="continuationSeparator" w:id="0">
    <w:p w14:paraId="4189EA78" w14:textId="77777777" w:rsidR="00D45F5E" w:rsidRDefault="00D45F5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104BC" w14:textId="77777777" w:rsidR="00D45F5E" w:rsidRDefault="00D45F5E" w:rsidP="00AA48FC">
      <w:pPr>
        <w:spacing w:after="0" w:line="240" w:lineRule="auto"/>
      </w:pPr>
      <w:r>
        <w:separator/>
      </w:r>
    </w:p>
  </w:footnote>
  <w:footnote w:type="continuationSeparator" w:id="0">
    <w:p w14:paraId="7F2AC2D4" w14:textId="77777777" w:rsidR="00D45F5E" w:rsidRDefault="00D45F5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0458622">
    <w:abstractNumId w:val="0"/>
  </w:num>
  <w:num w:numId="2" w16cid:durableId="6346057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37D7"/>
    <w:rsid w:val="0007253D"/>
    <w:rsid w:val="000A3395"/>
    <w:rsid w:val="000A6440"/>
    <w:rsid w:val="00182E78"/>
    <w:rsid w:val="0021097B"/>
    <w:rsid w:val="0022194F"/>
    <w:rsid w:val="002D1147"/>
    <w:rsid w:val="002D1C03"/>
    <w:rsid w:val="00323A3D"/>
    <w:rsid w:val="003449DF"/>
    <w:rsid w:val="0039128B"/>
    <w:rsid w:val="003D0950"/>
    <w:rsid w:val="003F72C8"/>
    <w:rsid w:val="004109E5"/>
    <w:rsid w:val="00433903"/>
    <w:rsid w:val="00433EB1"/>
    <w:rsid w:val="00494840"/>
    <w:rsid w:val="00502F8C"/>
    <w:rsid w:val="00536347"/>
    <w:rsid w:val="005A54E0"/>
    <w:rsid w:val="005C155B"/>
    <w:rsid w:val="006257C4"/>
    <w:rsid w:val="0065280A"/>
    <w:rsid w:val="006664B5"/>
    <w:rsid w:val="00821499"/>
    <w:rsid w:val="008745C1"/>
    <w:rsid w:val="008C4AD7"/>
    <w:rsid w:val="009A03AE"/>
    <w:rsid w:val="009D1F2F"/>
    <w:rsid w:val="00A3049A"/>
    <w:rsid w:val="00AA48FC"/>
    <w:rsid w:val="00B211A0"/>
    <w:rsid w:val="00B61C54"/>
    <w:rsid w:val="00B90C16"/>
    <w:rsid w:val="00BD02EA"/>
    <w:rsid w:val="00BD6045"/>
    <w:rsid w:val="00C30ACE"/>
    <w:rsid w:val="00C37E15"/>
    <w:rsid w:val="00C657DB"/>
    <w:rsid w:val="00C74C8C"/>
    <w:rsid w:val="00CC1EA8"/>
    <w:rsid w:val="00CF54D3"/>
    <w:rsid w:val="00D17A0F"/>
    <w:rsid w:val="00D45F5E"/>
    <w:rsid w:val="00D6299B"/>
    <w:rsid w:val="00D73917"/>
    <w:rsid w:val="00D91293"/>
    <w:rsid w:val="00E271B4"/>
    <w:rsid w:val="00EB0453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515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2023-01-17T10:27:00Z</dcterms:created>
  <dcterms:modified xsi:type="dcterms:W3CDTF">2023-01-17T10:28:00Z</dcterms:modified>
</cp:coreProperties>
</file>