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9129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213"/>
        <w:gridCol w:w="6847"/>
      </w:tblGrid>
      <w:tr w:rsidR="00821499" w:rsidRPr="00D91293" w14:paraId="308E4BCF" w14:textId="77777777" w:rsidTr="00CF54D3">
        <w:tc>
          <w:tcPr>
            <w:tcW w:w="4606" w:type="dxa"/>
          </w:tcPr>
          <w:p w14:paraId="42DD7B2F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9EA2D3B" w:rsidR="0022194F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672</w:t>
            </w:r>
            <w:r w:rsidR="00D91293" w:rsidRPr="00D91293">
              <w:rPr>
                <w:rFonts w:cstheme="minorHAnsi"/>
              </w:rPr>
              <w:t>6</w:t>
            </w:r>
          </w:p>
        </w:tc>
      </w:tr>
      <w:tr w:rsidR="00821499" w:rsidRPr="00D91293" w14:paraId="616D8CF9" w14:textId="77777777" w:rsidTr="00CF54D3">
        <w:tc>
          <w:tcPr>
            <w:tcW w:w="4606" w:type="dxa"/>
          </w:tcPr>
          <w:p w14:paraId="5DFEFE58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8AD2ABE" w:rsidR="0022194F" w:rsidRPr="00D91293" w:rsidRDefault="00D91293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J</w:t>
            </w:r>
            <w:r w:rsidR="00A3049A" w:rsidRPr="00D91293">
              <w:rPr>
                <w:rFonts w:cstheme="minorHAnsi"/>
              </w:rPr>
              <w:t>v</w:t>
            </w:r>
            <w:r w:rsidRPr="00D91293">
              <w:rPr>
                <w:rFonts w:cstheme="minorHAnsi"/>
              </w:rPr>
              <w:t>2</w:t>
            </w:r>
          </w:p>
        </w:tc>
      </w:tr>
      <w:tr w:rsidR="00821499" w:rsidRPr="00D91293" w14:paraId="106D8ED7" w14:textId="77777777" w:rsidTr="00CF54D3">
        <w:tc>
          <w:tcPr>
            <w:tcW w:w="4606" w:type="dxa"/>
          </w:tcPr>
          <w:p w14:paraId="42C61C07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 xml:space="preserve">Pořadové číslo karty vzorku v </w:t>
            </w:r>
            <w:r w:rsidR="000A6440" w:rsidRPr="00D9129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8BAA230" w:rsidR="00AA48FC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206</w:t>
            </w:r>
            <w:r w:rsidR="00D91293" w:rsidRPr="00D91293">
              <w:rPr>
                <w:rFonts w:cstheme="minorHAnsi"/>
              </w:rPr>
              <w:t>8</w:t>
            </w:r>
          </w:p>
        </w:tc>
      </w:tr>
      <w:tr w:rsidR="00821499" w:rsidRPr="00D91293" w14:paraId="32CF643C" w14:textId="77777777" w:rsidTr="00CF54D3">
        <w:tc>
          <w:tcPr>
            <w:tcW w:w="4606" w:type="dxa"/>
          </w:tcPr>
          <w:p w14:paraId="560D95E3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FF8772F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Praha, Juditina věž při Karlově mostě</w:t>
            </w:r>
          </w:p>
        </w:tc>
      </w:tr>
      <w:tr w:rsidR="00821499" w:rsidRPr="00D91293" w14:paraId="7F8D2B97" w14:textId="77777777" w:rsidTr="00CF54D3">
        <w:tc>
          <w:tcPr>
            <w:tcW w:w="4606" w:type="dxa"/>
          </w:tcPr>
          <w:p w14:paraId="59451275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0B5229A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Románský reliéf na Juditině věži</w:t>
            </w:r>
          </w:p>
        </w:tc>
      </w:tr>
      <w:tr w:rsidR="00821499" w:rsidRPr="00D91293" w14:paraId="54033E58" w14:textId="77777777" w:rsidTr="00CF54D3">
        <w:tc>
          <w:tcPr>
            <w:tcW w:w="4606" w:type="dxa"/>
          </w:tcPr>
          <w:p w14:paraId="65CE29A7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13BD88E0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9540" w:dyaOrig="4230" w14:anchorId="4E8328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35pt;height:147.25pt" o:ole="">
                  <v:imagedata r:id="rId7" o:title=""/>
                </v:shape>
                <o:OLEObject Type="Embed" ProgID="PBrush" ShapeID="_x0000_i1025" DrawAspect="Content" ObjectID="_1734859147" r:id="rId8"/>
              </w:object>
            </w:r>
          </w:p>
        </w:tc>
      </w:tr>
      <w:tr w:rsidR="00821499" w:rsidRPr="00D91293" w14:paraId="5E1A21DD" w14:textId="77777777" w:rsidTr="00CF54D3">
        <w:tc>
          <w:tcPr>
            <w:tcW w:w="4606" w:type="dxa"/>
          </w:tcPr>
          <w:p w14:paraId="1B7B8745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8FE6394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5355" w:dyaOrig="6555" w14:anchorId="466A48FB">
                <v:shape id="_x0000_i1031" type="#_x0000_t75" style="width:240.55pt;height:294.55pt" o:ole="">
                  <v:imagedata r:id="rId9" o:title=""/>
                </v:shape>
                <o:OLEObject Type="Embed" ProgID="PBrush" ShapeID="_x0000_i1031" DrawAspect="Content" ObjectID="_1734859148" r:id="rId10"/>
              </w:object>
            </w:r>
          </w:p>
        </w:tc>
      </w:tr>
      <w:tr w:rsidR="00821499" w:rsidRPr="00D91293" w14:paraId="0ACABA34" w14:textId="77777777" w:rsidTr="00CF54D3">
        <w:tc>
          <w:tcPr>
            <w:tcW w:w="4606" w:type="dxa"/>
          </w:tcPr>
          <w:p w14:paraId="2B920B9B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EAE3A6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Zdivo</w:t>
            </w:r>
          </w:p>
        </w:tc>
      </w:tr>
      <w:tr w:rsidR="00821499" w:rsidRPr="00D91293" w14:paraId="7715CB8F" w14:textId="77777777" w:rsidTr="00CF54D3">
        <w:tc>
          <w:tcPr>
            <w:tcW w:w="4606" w:type="dxa"/>
          </w:tcPr>
          <w:p w14:paraId="1E56020F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D8FBC5A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Kámen</w:t>
            </w:r>
          </w:p>
        </w:tc>
      </w:tr>
      <w:tr w:rsidR="00821499" w:rsidRPr="00D91293" w14:paraId="20A918C5" w14:textId="77777777" w:rsidTr="00CF54D3">
        <w:tc>
          <w:tcPr>
            <w:tcW w:w="4606" w:type="dxa"/>
          </w:tcPr>
          <w:p w14:paraId="1A2F26B6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Datace</w:t>
            </w:r>
            <w:r w:rsidR="00AA48FC" w:rsidRPr="00D9129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91293" w:rsidRDefault="0022194F" w:rsidP="00821499">
            <w:pPr>
              <w:rPr>
                <w:rFonts w:cstheme="minorHAnsi"/>
              </w:rPr>
            </w:pPr>
          </w:p>
        </w:tc>
      </w:tr>
      <w:tr w:rsidR="00821499" w:rsidRPr="00D91293" w14:paraId="0BF9C387" w14:textId="77777777" w:rsidTr="00CF54D3">
        <w:tc>
          <w:tcPr>
            <w:tcW w:w="4606" w:type="dxa"/>
          </w:tcPr>
          <w:p w14:paraId="12280DD1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F474652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Bayer Karol</w:t>
            </w:r>
          </w:p>
        </w:tc>
      </w:tr>
      <w:tr w:rsidR="00821499" w:rsidRPr="00D91293" w14:paraId="3B388C43" w14:textId="77777777" w:rsidTr="00CF54D3">
        <w:tc>
          <w:tcPr>
            <w:tcW w:w="4606" w:type="dxa"/>
          </w:tcPr>
          <w:p w14:paraId="07CED6AE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Datum zpracování zprávy</w:t>
            </w:r>
            <w:r w:rsidR="00AA48FC" w:rsidRPr="00D9129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6A666D4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24. 4. 2013</w:t>
            </w:r>
          </w:p>
        </w:tc>
      </w:tr>
      <w:tr w:rsidR="005A54E0" w:rsidRPr="00D91293" w14:paraId="39B656B6" w14:textId="77777777" w:rsidTr="00CF54D3">
        <w:tc>
          <w:tcPr>
            <w:tcW w:w="4606" w:type="dxa"/>
          </w:tcPr>
          <w:p w14:paraId="0369BDA3" w14:textId="77777777" w:rsidR="005A54E0" w:rsidRPr="00D91293" w:rsidRDefault="005A54E0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Číslo příslušné zprávy v </w:t>
            </w:r>
            <w:r w:rsidR="000A6440" w:rsidRPr="00D91293">
              <w:rPr>
                <w:rFonts w:cstheme="minorHAnsi"/>
                <w:b/>
              </w:rPr>
              <w:t>databázi</w:t>
            </w:r>
            <w:r w:rsidRPr="00D9129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0DE00A7" w:rsidR="005A54E0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2013_18</w:t>
            </w:r>
          </w:p>
        </w:tc>
      </w:tr>
    </w:tbl>
    <w:p w14:paraId="2329459B" w14:textId="77777777" w:rsidR="00AA48FC" w:rsidRPr="00D9129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91293" w14:paraId="5F13C4C5" w14:textId="77777777" w:rsidTr="00CF54D3">
        <w:tc>
          <w:tcPr>
            <w:tcW w:w="10060" w:type="dxa"/>
          </w:tcPr>
          <w:p w14:paraId="01601BB6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Výsledky analýzy</w:t>
            </w:r>
          </w:p>
        </w:tc>
      </w:tr>
      <w:tr w:rsidR="00AA48FC" w:rsidRPr="00D91293" w14:paraId="40D63742" w14:textId="77777777" w:rsidTr="00CF54D3">
        <w:tc>
          <w:tcPr>
            <w:tcW w:w="10060" w:type="dxa"/>
          </w:tcPr>
          <w:p w14:paraId="1C89CE2F" w14:textId="37D619B5" w:rsidR="00AA48FC" w:rsidRPr="00D91293" w:rsidRDefault="00AA48FC" w:rsidP="00821499">
            <w:pPr>
              <w:rPr>
                <w:rFonts w:cstheme="minorHAnsi"/>
              </w:rPr>
            </w:pPr>
          </w:p>
          <w:p w14:paraId="2BA51676" w14:textId="3ACC1D3B" w:rsidR="00D91293" w:rsidRPr="00D91293" w:rsidRDefault="00D91293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700" w:dyaOrig="11010" w14:anchorId="6C9F6AAB">
                <v:shape id="_x0000_i1072" type="#_x0000_t75" style="width:435.25pt;height:550.65pt" o:ole="">
                  <v:imagedata r:id="rId11" o:title=""/>
                </v:shape>
                <o:OLEObject Type="Embed" ProgID="PBrush" ShapeID="_x0000_i1072" DrawAspect="Content" ObjectID="_1734859149" r:id="rId12"/>
              </w:object>
            </w:r>
          </w:p>
          <w:p w14:paraId="33EE6C31" w14:textId="3ED2FFFC" w:rsidR="00A3049A" w:rsidRPr="00D91293" w:rsidRDefault="00A3049A" w:rsidP="00821499">
            <w:pPr>
              <w:rPr>
                <w:rFonts w:cstheme="minorHAnsi"/>
              </w:rPr>
            </w:pPr>
          </w:p>
          <w:p w14:paraId="4DA7E12B" w14:textId="2EBE95D3" w:rsidR="00A3049A" w:rsidRPr="00D91293" w:rsidRDefault="00D91293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745" w:dyaOrig="8580" w14:anchorId="729A9121">
                <v:shape id="_x0000_i1075" type="#_x0000_t75" style="width:436.9pt;height:428.75pt" o:ole="">
                  <v:imagedata r:id="rId13" o:title=""/>
                </v:shape>
                <o:OLEObject Type="Embed" ProgID="PBrush" ShapeID="_x0000_i1075" DrawAspect="Content" ObjectID="_1734859150" r:id="rId14"/>
              </w:object>
            </w:r>
          </w:p>
          <w:p w14:paraId="68F6913C" w14:textId="3D1E5811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5025570C" w14:textId="43893D27" w:rsidR="00D91293" w:rsidRPr="00D91293" w:rsidRDefault="00D91293" w:rsidP="00A3049A">
            <w:pPr>
              <w:jc w:val="both"/>
              <w:rPr>
                <w:rFonts w:cstheme="minorHAnsi"/>
              </w:rPr>
            </w:pPr>
          </w:p>
          <w:p w14:paraId="02FBDA30" w14:textId="77777777" w:rsidR="00D91293" w:rsidRPr="00D91293" w:rsidRDefault="00D91293" w:rsidP="00A3049A">
            <w:pPr>
              <w:jc w:val="both"/>
              <w:rPr>
                <w:rFonts w:cstheme="minorHAnsi"/>
              </w:rPr>
            </w:pPr>
          </w:p>
          <w:p w14:paraId="5C8639D7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Shrnutí: </w:t>
            </w:r>
          </w:p>
          <w:p w14:paraId="2465CEBD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</w:p>
          <w:p w14:paraId="70B8F622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Na povrchu poměrně důkladně vyhlazeného kamene („opuka“) jsou fragmenty modré barevné vrstvy. Je nanesená přímo na kameni bez podkladové vrstvy. Jako pigment byl použitý přírodní ultramarín (</w:t>
            </w:r>
            <w:proofErr w:type="spellStart"/>
            <w:r w:rsidRPr="00D91293">
              <w:rPr>
                <w:rFonts w:cstheme="minorHAnsi"/>
              </w:rPr>
              <w:t>lapis</w:t>
            </w:r>
            <w:proofErr w:type="spellEnd"/>
            <w:r w:rsidRPr="00D91293">
              <w:rPr>
                <w:rFonts w:cstheme="minorHAnsi"/>
              </w:rPr>
              <w:t xml:space="preserve"> lazuli) a kromě modrých zrn lazuritu - (</w:t>
            </w:r>
            <w:proofErr w:type="spellStart"/>
            <w:proofErr w:type="gramStart"/>
            <w:r w:rsidRPr="00D91293">
              <w:rPr>
                <w:rFonts w:cstheme="minorHAnsi"/>
              </w:rPr>
              <w:t>Na,Ca</w:t>
            </w:r>
            <w:proofErr w:type="spellEnd"/>
            <w:proofErr w:type="gramEnd"/>
            <w:r w:rsidRPr="00D91293">
              <w:rPr>
                <w:rFonts w:cstheme="minorHAnsi"/>
              </w:rPr>
              <w:t>)</w:t>
            </w:r>
            <w:r w:rsidRPr="00D91293">
              <w:rPr>
                <w:rFonts w:cstheme="minorHAnsi"/>
                <w:vertAlign w:val="subscript"/>
              </w:rPr>
              <w:t>8</w:t>
            </w:r>
            <w:r w:rsidRPr="00D91293">
              <w:rPr>
                <w:rFonts w:cstheme="minorHAnsi"/>
              </w:rPr>
              <w:t>[S</w:t>
            </w:r>
            <w:r w:rsidRPr="00D91293">
              <w:rPr>
                <w:rFonts w:cstheme="minorHAnsi"/>
                <w:vertAlign w:val="subscript"/>
              </w:rPr>
              <w:t>2</w:t>
            </w:r>
            <w:r w:rsidRPr="00D91293">
              <w:rPr>
                <w:rFonts w:cstheme="minorHAnsi"/>
              </w:rPr>
              <w:t>|(AlSiO</w:t>
            </w:r>
            <w:r w:rsidRPr="00D91293">
              <w:rPr>
                <w:rFonts w:cstheme="minorHAnsi"/>
                <w:vertAlign w:val="subscript"/>
              </w:rPr>
              <w:t>4</w:t>
            </w:r>
            <w:r w:rsidRPr="00D91293">
              <w:rPr>
                <w:rFonts w:cstheme="minorHAnsi"/>
              </w:rPr>
              <w:t>)</w:t>
            </w:r>
            <w:r w:rsidRPr="00D91293">
              <w:rPr>
                <w:rFonts w:cstheme="minorHAnsi"/>
                <w:vertAlign w:val="subscript"/>
              </w:rPr>
              <w:t>6</w:t>
            </w:r>
            <w:r w:rsidRPr="00D91293">
              <w:rPr>
                <w:rFonts w:cstheme="minorHAnsi"/>
              </w:rPr>
              <w:t xml:space="preserve">] obsahuje i podíl dalších příměsí, především různé </w:t>
            </w:r>
            <w:proofErr w:type="spellStart"/>
            <w:r w:rsidRPr="00D91293">
              <w:rPr>
                <w:rFonts w:cstheme="minorHAnsi"/>
              </w:rPr>
              <w:t>alumosilikátové</w:t>
            </w:r>
            <w:proofErr w:type="spellEnd"/>
            <w:r w:rsidRPr="00D91293">
              <w:rPr>
                <w:rFonts w:cstheme="minorHAnsi"/>
              </w:rPr>
              <w:t xml:space="preserve"> částice, které jsou běžnou příměsí </w:t>
            </w:r>
            <w:proofErr w:type="spellStart"/>
            <w:r w:rsidRPr="00D91293">
              <w:rPr>
                <w:rFonts w:cstheme="minorHAnsi"/>
              </w:rPr>
              <w:t>lapisu</w:t>
            </w:r>
            <w:proofErr w:type="spellEnd"/>
            <w:r w:rsidRPr="00D91293">
              <w:rPr>
                <w:rFonts w:cstheme="minorHAnsi"/>
              </w:rPr>
              <w:t xml:space="preserve"> lazuli. </w:t>
            </w:r>
          </w:p>
          <w:p w14:paraId="02C76F84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Pojivem barevné vrstvy je podle výsledků analýzy GC-MS (viz příloha) i podle mikrochemických důkazových reakcí s nejvyšší pravděpodobností vysychavý olej. </w:t>
            </w:r>
          </w:p>
          <w:p w14:paraId="380DC37D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</w:p>
          <w:p w14:paraId="03117685" w14:textId="77777777" w:rsidR="00D91293" w:rsidRPr="00D91293" w:rsidRDefault="00D91293" w:rsidP="00D91293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Na povrchu kamene nebyly nalezeny pod barevnou vrstvou stopy nečistot a je možné předpokládat, že se jedná o zbytky původní polychromie. Použitý pigment – přírodní ultramarín, jeden z nejdražších historických pigmentů, byl v době, do které je datováno zhotovení reliéfu obvykle používaný pro velmi významná díla nebo pro zdůraznění významu některých částí </w:t>
            </w:r>
            <w:proofErr w:type="gramStart"/>
            <w:r w:rsidRPr="00D91293">
              <w:rPr>
                <w:rFonts w:cstheme="minorHAnsi"/>
              </w:rPr>
              <w:t>díla</w:t>
            </w:r>
            <w:proofErr w:type="gramEnd"/>
            <w:r w:rsidRPr="00D91293">
              <w:rPr>
                <w:rFonts w:cstheme="minorHAnsi"/>
              </w:rPr>
              <w:t xml:space="preserve"> resp. některých postav (například pro barvu oděvu). </w:t>
            </w:r>
          </w:p>
          <w:p w14:paraId="1723E90F" w14:textId="1DF3DB95" w:rsidR="00A3049A" w:rsidRPr="00D91293" w:rsidRDefault="00A3049A" w:rsidP="00821499">
            <w:pPr>
              <w:rPr>
                <w:rFonts w:cstheme="minorHAnsi"/>
              </w:rPr>
            </w:pPr>
          </w:p>
          <w:p w14:paraId="2F3BB7CD" w14:textId="2106F0B1" w:rsidR="00A3049A" w:rsidRPr="00D91293" w:rsidRDefault="00A3049A" w:rsidP="00821499">
            <w:pPr>
              <w:rPr>
                <w:rFonts w:cstheme="minorHAnsi"/>
              </w:rPr>
            </w:pPr>
          </w:p>
          <w:p w14:paraId="71CAF32D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Zjištění stavu reliéfu metodou ultrazvukové transmise</w:t>
            </w:r>
          </w:p>
          <w:p w14:paraId="11DFFF42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</w:p>
          <w:p w14:paraId="59504ED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78ED22A2" w14:textId="77777777" w:rsidR="00A3049A" w:rsidRPr="00D91293" w:rsidRDefault="00A3049A" w:rsidP="00A3049A">
            <w:pPr>
              <w:rPr>
                <w:rFonts w:cstheme="minorHAnsi"/>
                <w:b/>
                <w:bCs/>
              </w:rPr>
            </w:pPr>
            <w:r w:rsidRPr="00D91293">
              <w:rPr>
                <w:rFonts w:cstheme="minorHAnsi"/>
                <w:b/>
                <w:bCs/>
              </w:rPr>
              <w:t>Výsledky měření:</w:t>
            </w:r>
          </w:p>
          <w:p w14:paraId="3C569836" w14:textId="77777777" w:rsidR="00A3049A" w:rsidRPr="00D91293" w:rsidRDefault="00A3049A" w:rsidP="00A3049A">
            <w:pPr>
              <w:rPr>
                <w:rFonts w:cstheme="minorHAnsi"/>
              </w:rPr>
            </w:pPr>
          </w:p>
          <w:p w14:paraId="611A3717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lastRenderedPageBreak/>
              <w:t xml:space="preserve">V tabulce je uvedeno místo měření, naměřený čas </w:t>
            </w:r>
            <w:r w:rsidRPr="00D91293">
              <w:rPr>
                <w:rFonts w:cstheme="minorHAnsi"/>
                <w:b/>
              </w:rPr>
              <w:t xml:space="preserve">t, </w:t>
            </w:r>
            <w:proofErr w:type="spellStart"/>
            <w:r w:rsidRPr="00D91293">
              <w:rPr>
                <w:rFonts w:cstheme="minorHAnsi"/>
                <w:b/>
                <w:color w:val="000000"/>
              </w:rPr>
              <w:t>t</w:t>
            </w:r>
            <w:r w:rsidRPr="00D91293">
              <w:rPr>
                <w:rFonts w:cstheme="minorHAnsi"/>
                <w:b/>
                <w:color w:val="000000"/>
                <w:vertAlign w:val="subscript"/>
              </w:rPr>
              <w:t>kor</w:t>
            </w:r>
            <w:proofErr w:type="spellEnd"/>
            <w:r w:rsidRPr="00D91293">
              <w:rPr>
                <w:rFonts w:cstheme="minorHAnsi"/>
                <w:color w:val="000000"/>
              </w:rPr>
              <w:t xml:space="preserve"> (naměřený čas po odečítaní korekce pro danou frekvenci), směr měření, </w:t>
            </w:r>
            <w:r w:rsidRPr="00D91293">
              <w:rPr>
                <w:rFonts w:cstheme="minorHAnsi"/>
              </w:rPr>
              <w:t xml:space="preserve">vzdálenost </w:t>
            </w:r>
            <w:r w:rsidRPr="00D91293">
              <w:rPr>
                <w:rFonts w:cstheme="minorHAnsi"/>
                <w:b/>
              </w:rPr>
              <w:t>d</w:t>
            </w:r>
            <w:r w:rsidRPr="00D91293">
              <w:rPr>
                <w:rFonts w:cstheme="minorHAnsi"/>
              </w:rPr>
              <w:t xml:space="preserve"> pro dané měření a rychlost ultrazvukového signálu </w:t>
            </w:r>
            <w:r w:rsidRPr="00D91293">
              <w:rPr>
                <w:rFonts w:cstheme="minorHAnsi"/>
                <w:b/>
              </w:rPr>
              <w:t>v</w:t>
            </w:r>
            <w:r w:rsidRPr="00D91293">
              <w:rPr>
                <w:rFonts w:cstheme="minorHAnsi"/>
              </w:rPr>
              <w:t>.</w:t>
            </w:r>
          </w:p>
          <w:p w14:paraId="45C067A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0154C2D8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Směry měření jsou udávány z hlediska čelního pohledu na měřený objekt: </w:t>
            </w:r>
            <w:proofErr w:type="spellStart"/>
            <w:r w:rsidRPr="00D91293">
              <w:rPr>
                <w:rFonts w:cstheme="minorHAnsi"/>
                <w:b/>
              </w:rPr>
              <w:t>lp</w:t>
            </w:r>
            <w:proofErr w:type="spellEnd"/>
            <w:r w:rsidRPr="00D91293">
              <w:rPr>
                <w:rFonts w:cstheme="minorHAnsi"/>
              </w:rPr>
              <w:t xml:space="preserve"> – horizontálně zleva doprava (nebo naopak); </w:t>
            </w:r>
            <w:proofErr w:type="spellStart"/>
            <w:r w:rsidRPr="00D91293">
              <w:rPr>
                <w:rFonts w:cstheme="minorHAnsi"/>
                <w:b/>
              </w:rPr>
              <w:t>pz</w:t>
            </w:r>
            <w:proofErr w:type="spellEnd"/>
            <w:r w:rsidRPr="00D91293">
              <w:rPr>
                <w:rFonts w:cstheme="minorHAnsi"/>
              </w:rPr>
              <w:t xml:space="preserve"> – horizontálně zpředu dozadu (nebo naopak); </w:t>
            </w:r>
          </w:p>
          <w:p w14:paraId="2BC377CA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proofErr w:type="spellStart"/>
            <w:r w:rsidRPr="00D91293">
              <w:rPr>
                <w:rFonts w:cstheme="minorHAnsi"/>
                <w:b/>
              </w:rPr>
              <w:t>vv</w:t>
            </w:r>
            <w:proofErr w:type="spellEnd"/>
            <w:r w:rsidRPr="00D91293">
              <w:rPr>
                <w:rFonts w:cstheme="minorHAnsi"/>
                <w:b/>
              </w:rPr>
              <w:t xml:space="preserve"> </w:t>
            </w:r>
            <w:r w:rsidRPr="00D91293">
              <w:rPr>
                <w:rFonts w:cstheme="minorHAnsi"/>
              </w:rPr>
              <w:t xml:space="preserve">– vertikálně. </w:t>
            </w:r>
          </w:p>
          <w:p w14:paraId="04D75761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543FDEC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Zkratky v poznámkách souvisejí s amplitudou nebo tvarem signálu: </w:t>
            </w:r>
            <w:proofErr w:type="spellStart"/>
            <w:r w:rsidRPr="00D91293">
              <w:rPr>
                <w:rFonts w:cstheme="minorHAnsi"/>
                <w:b/>
              </w:rPr>
              <w:t>vzas</w:t>
            </w:r>
            <w:proofErr w:type="spellEnd"/>
            <w:r w:rsidRPr="00D91293">
              <w:rPr>
                <w:rFonts w:cstheme="minorHAnsi"/>
              </w:rPr>
              <w:t xml:space="preserve"> – výrazně zeslabená amplituda </w:t>
            </w:r>
            <w:proofErr w:type="gramStart"/>
            <w:r w:rsidRPr="00D91293">
              <w:rPr>
                <w:rFonts w:cstheme="minorHAnsi"/>
              </w:rPr>
              <w:t xml:space="preserve">signálu,  </w:t>
            </w:r>
            <w:r w:rsidRPr="00D91293">
              <w:rPr>
                <w:rFonts w:cstheme="minorHAnsi"/>
                <w:b/>
              </w:rPr>
              <w:t>zas</w:t>
            </w:r>
            <w:proofErr w:type="gramEnd"/>
            <w:r w:rsidRPr="00D91293">
              <w:rPr>
                <w:rFonts w:cstheme="minorHAnsi"/>
              </w:rPr>
              <w:t xml:space="preserve"> – zeslabená amplituda signálu, </w:t>
            </w:r>
            <w:proofErr w:type="spellStart"/>
            <w:r w:rsidRPr="00D91293">
              <w:rPr>
                <w:rFonts w:cstheme="minorHAnsi"/>
                <w:b/>
              </w:rPr>
              <w:t>ds</w:t>
            </w:r>
            <w:proofErr w:type="spellEnd"/>
            <w:r w:rsidRPr="00D91293">
              <w:rPr>
                <w:rFonts w:cstheme="minorHAnsi"/>
              </w:rPr>
              <w:t xml:space="preserve"> – deformovaný signál. </w:t>
            </w:r>
          </w:p>
          <w:p w14:paraId="3152FCE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Neměřitelný signál je v tabulce označen zkratkou </w:t>
            </w:r>
            <w:proofErr w:type="spellStart"/>
            <w:r w:rsidRPr="00D91293">
              <w:rPr>
                <w:rFonts w:cstheme="minorHAnsi"/>
                <w:b/>
              </w:rPr>
              <w:t>ns</w:t>
            </w:r>
            <w:proofErr w:type="spellEnd"/>
            <w:r w:rsidRPr="00D91293">
              <w:rPr>
                <w:rFonts w:cstheme="minorHAnsi"/>
                <w:b/>
              </w:rPr>
              <w:t xml:space="preserve"> </w:t>
            </w:r>
            <w:r w:rsidRPr="00D91293">
              <w:rPr>
                <w:rFonts w:cstheme="minorHAnsi"/>
              </w:rPr>
              <w:t xml:space="preserve">(neměřitelný signál). </w:t>
            </w:r>
          </w:p>
          <w:p w14:paraId="57BE1D4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3375754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Tab.1. Výsledky měření </w:t>
            </w:r>
          </w:p>
          <w:p w14:paraId="4AC750B5" w14:textId="5B6FFE34" w:rsidR="00A3049A" w:rsidRPr="00D91293" w:rsidRDefault="00A3049A" w:rsidP="00821499">
            <w:pPr>
              <w:rPr>
                <w:rFonts w:cstheme="minorHAnsi"/>
              </w:rPr>
            </w:pPr>
          </w:p>
          <w:p w14:paraId="7277F18C" w14:textId="69914B85" w:rsidR="00A3049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145" w:dyaOrig="7155" w14:anchorId="025748D2">
                <v:shape id="_x0000_i1041" type="#_x0000_t75" style="width:407.45pt;height:357.55pt" o:ole="">
                  <v:imagedata r:id="rId15" o:title=""/>
                </v:shape>
                <o:OLEObject Type="Embed" ProgID="PBrush" ShapeID="_x0000_i1041" DrawAspect="Content" ObjectID="_1734859151" r:id="rId16"/>
              </w:object>
            </w:r>
          </w:p>
          <w:p w14:paraId="23DBBA8C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2F285518" w14:textId="3955538F" w:rsidR="00A3049A" w:rsidRPr="00D91293" w:rsidRDefault="00A3049A" w:rsidP="00821499">
            <w:pPr>
              <w:rPr>
                <w:rFonts w:cstheme="minorHAnsi"/>
              </w:rPr>
            </w:pPr>
          </w:p>
          <w:p w14:paraId="197366A0" w14:textId="5CA0F95F" w:rsidR="00A3049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160" w:dyaOrig="9960" w14:anchorId="5FB2778B">
                <v:shape id="_x0000_i1043" type="#_x0000_t75" style="width:408.25pt;height:498.25pt" o:ole="">
                  <v:imagedata r:id="rId17" o:title=""/>
                </v:shape>
                <o:OLEObject Type="Embed" ProgID="PBrush" ShapeID="_x0000_i1043" DrawAspect="Content" ObjectID="_1734859152" r:id="rId18"/>
              </w:object>
            </w:r>
          </w:p>
          <w:p w14:paraId="30FC9565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458C6A33" w14:textId="7FC0A695" w:rsidR="0065280A" w:rsidRPr="00D91293" w:rsidRDefault="0065280A" w:rsidP="00821499">
            <w:pPr>
              <w:rPr>
                <w:rFonts w:cstheme="minorHAnsi"/>
              </w:rPr>
            </w:pPr>
          </w:p>
          <w:p w14:paraId="36D30144" w14:textId="05178AA0" w:rsidR="0065280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010" w:dyaOrig="11190" w14:anchorId="7669C7ED">
                <v:shape id="_x0000_i1045" type="#_x0000_t75" style="width:400.9pt;height:559.65pt" o:ole="">
                  <v:imagedata r:id="rId19" o:title=""/>
                </v:shape>
                <o:OLEObject Type="Embed" ProgID="PBrush" ShapeID="_x0000_i1045" DrawAspect="Content" ObjectID="_1734859153" r:id="rId20"/>
              </w:object>
            </w:r>
          </w:p>
          <w:p w14:paraId="732DD405" w14:textId="402BC7FB" w:rsidR="00A3049A" w:rsidRPr="00D91293" w:rsidRDefault="00A3049A" w:rsidP="00821499">
            <w:pPr>
              <w:rPr>
                <w:rFonts w:cstheme="minorHAnsi"/>
              </w:rPr>
            </w:pPr>
          </w:p>
          <w:p w14:paraId="57457B6D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Vyhodnocení výsledků měření ultrazvukovou transmisí:</w:t>
            </w:r>
          </w:p>
          <w:p w14:paraId="1F9CE37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0CED7B1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Cílem měření bylo zjištění aktuálního stavu jednotlivých částí reliéfu a lokalizace případných poškození.  </w:t>
            </w:r>
          </w:p>
          <w:p w14:paraId="7A35997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754E115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EFD55E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Klečící postava</w:t>
            </w:r>
          </w:p>
          <w:p w14:paraId="67D6855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BC7554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Naměřené hodnoty rychlostí UZ se pohybují </w:t>
            </w:r>
            <w:proofErr w:type="gramStart"/>
            <w:r w:rsidRPr="00D91293">
              <w:rPr>
                <w:rFonts w:cstheme="minorHAnsi"/>
              </w:rPr>
              <w:t>v  rozmezí</w:t>
            </w:r>
            <w:proofErr w:type="gramEnd"/>
            <w:r w:rsidRPr="00D91293">
              <w:rPr>
                <w:rFonts w:cstheme="minorHAnsi"/>
              </w:rPr>
              <w:t xml:space="preserve"> od 1,97 km/s po 3,22 km/s (i po zahrnutí výsledků měření na hlavě), průměrná rychlost pro měření na postavě bez započtení měření na hlavě (pozdější doplněk) a měření na místech s potenciálními poškozeními je 2,79 km/s.  Průměrná rychlost měření na hlavě (pozdější doplněk) je 2,50 km/s. </w:t>
            </w:r>
          </w:p>
          <w:p w14:paraId="191FF88A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Profil rychlostí UZ je vyrovnaný, měřením nebyla zjištěna případná korozní zóna na povrchu horniny. </w:t>
            </w:r>
          </w:p>
          <w:p w14:paraId="7A8E74E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lastRenderedPageBreak/>
              <w:t xml:space="preserve">Na několika místech lze předpokládat přítomnost prasklin nebo nehomogenních vrstev v hornině – lokálně v místech napojení doplňku hlavu na tělo postavy; levé předloktí; levé chodidlo a mezi levým kolenem a zadní částí postavy. </w:t>
            </w:r>
          </w:p>
          <w:p w14:paraId="46270F7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Celkově lze stav této části reliéfu hodnotit jako poměrně dobrý. </w:t>
            </w:r>
          </w:p>
          <w:p w14:paraId="638A2552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5C69EB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FC4C4B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Trůnící postava</w:t>
            </w:r>
          </w:p>
          <w:p w14:paraId="6ABAF38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11D361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Naměřené hodnoty rychlostí UZ se pohybují v rozmezí od 1,92 km/s po 3,49 km/s, průměrná rychlost je 2,75 km/s, co je rychlost velmi blízká průměrné rychlosti zjištěné na klečící postavě. </w:t>
            </w:r>
          </w:p>
          <w:p w14:paraId="78B1FFF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Profil rychlostí UZ je i v tomto případě vyrovnaný a měřením nebyla zjištěna případná korozní zóna na povrchu horniny. </w:t>
            </w:r>
          </w:p>
          <w:p w14:paraId="5FB5126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Případná poškození nebo přítomnost nehomogenních vrstev v hornině lze podle výsledků měření očekávat v bloku kamene pod koleny trůnící postavy. </w:t>
            </w:r>
          </w:p>
          <w:p w14:paraId="4090B0E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Celkově lze podobně jako v případě klečící postavy hodnotit stav této části reliéfu jako poměrně dobrý.</w:t>
            </w:r>
          </w:p>
          <w:p w14:paraId="09DF1E1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F92AE4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934A3A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Bloky v nice</w:t>
            </w:r>
          </w:p>
          <w:p w14:paraId="0377DB1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81C165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Měření bylo provedeno pouze jako srovnávací s cílem zjistit, zda byl použitý podobný nebo odlišný typ horniny jako na samotném reliéfu. </w:t>
            </w:r>
          </w:p>
          <w:p w14:paraId="5892929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Naměřené hodnoty rychlostí UZ se pohybují v rozmezí od 3,16 km/s po 4,28 km/s. Průměrná rychlost je 3,71 km/</w:t>
            </w:r>
            <w:proofErr w:type="gramStart"/>
            <w:r w:rsidRPr="00D91293">
              <w:rPr>
                <w:rFonts w:cstheme="minorHAnsi"/>
              </w:rPr>
              <w:t>s  a</w:t>
            </w:r>
            <w:proofErr w:type="gramEnd"/>
            <w:r w:rsidRPr="00D91293">
              <w:rPr>
                <w:rFonts w:cstheme="minorHAnsi"/>
              </w:rPr>
              <w:t xml:space="preserve"> lze téměř s jistotou tvrdit pro bloky v nice byl použitý odlišný typ nebo jiná varieta horniny jako pro zhotovení reliéfu. </w:t>
            </w:r>
          </w:p>
          <w:p w14:paraId="0A0DF25D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AA3C2C5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1470A77E" w14:textId="4A83216F" w:rsidR="0065280A" w:rsidRPr="00D9129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9129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91293" w14:paraId="6588E497" w14:textId="77777777" w:rsidTr="00CF54D3">
        <w:tc>
          <w:tcPr>
            <w:tcW w:w="10060" w:type="dxa"/>
          </w:tcPr>
          <w:p w14:paraId="6A3A9C3E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91293" w14:paraId="24BB7D60" w14:textId="77777777" w:rsidTr="00CF54D3">
        <w:tc>
          <w:tcPr>
            <w:tcW w:w="10060" w:type="dxa"/>
          </w:tcPr>
          <w:p w14:paraId="4FB66E8A" w14:textId="77777777" w:rsidR="00AA48FC" w:rsidRPr="00D9129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91293" w:rsidRDefault="0022194F" w:rsidP="00821499">
      <w:pPr>
        <w:spacing w:line="240" w:lineRule="auto"/>
        <w:rPr>
          <w:rFonts w:cstheme="minorHAnsi"/>
        </w:rPr>
      </w:pPr>
    </w:p>
    <w:sectPr w:rsidR="0022194F" w:rsidRPr="00D91293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4F15" w14:textId="77777777" w:rsidR="003376C6" w:rsidRDefault="003376C6" w:rsidP="00AA48FC">
      <w:pPr>
        <w:spacing w:after="0" w:line="240" w:lineRule="auto"/>
      </w:pPr>
      <w:r>
        <w:separator/>
      </w:r>
    </w:p>
  </w:endnote>
  <w:endnote w:type="continuationSeparator" w:id="0">
    <w:p w14:paraId="6174C822" w14:textId="77777777" w:rsidR="003376C6" w:rsidRDefault="003376C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EE8C3" w14:textId="77777777" w:rsidR="003376C6" w:rsidRDefault="003376C6" w:rsidP="00AA48FC">
      <w:pPr>
        <w:spacing w:after="0" w:line="240" w:lineRule="auto"/>
      </w:pPr>
      <w:r>
        <w:separator/>
      </w:r>
    </w:p>
  </w:footnote>
  <w:footnote w:type="continuationSeparator" w:id="0">
    <w:p w14:paraId="7E9103BD" w14:textId="77777777" w:rsidR="003376C6" w:rsidRDefault="003376C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376C6"/>
    <w:rsid w:val="003449DF"/>
    <w:rsid w:val="003D0950"/>
    <w:rsid w:val="00494840"/>
    <w:rsid w:val="00536347"/>
    <w:rsid w:val="005A54E0"/>
    <w:rsid w:val="005C155B"/>
    <w:rsid w:val="0065280A"/>
    <w:rsid w:val="00821499"/>
    <w:rsid w:val="008745C1"/>
    <w:rsid w:val="009A03AE"/>
    <w:rsid w:val="00A3049A"/>
    <w:rsid w:val="00AA48FC"/>
    <w:rsid w:val="00B61C54"/>
    <w:rsid w:val="00B90C16"/>
    <w:rsid w:val="00BD02EA"/>
    <w:rsid w:val="00BD6045"/>
    <w:rsid w:val="00C30ACE"/>
    <w:rsid w:val="00C657DB"/>
    <w:rsid w:val="00C74C8C"/>
    <w:rsid w:val="00CC1EA8"/>
    <w:rsid w:val="00CF54D3"/>
    <w:rsid w:val="00D6299B"/>
    <w:rsid w:val="00D91293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613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2023-01-10T11:30:00Z</dcterms:created>
  <dcterms:modified xsi:type="dcterms:W3CDTF">2023-01-10T11:32:00Z</dcterms:modified>
</cp:coreProperties>
</file>