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E74CA7" w:rsidTr="00CF54D3">
        <w:tc>
          <w:tcPr>
            <w:tcW w:w="4606" w:type="dxa"/>
          </w:tcPr>
          <w:p w:rsidR="0022194F" w:rsidRPr="00E74CA7" w:rsidRDefault="0022194F" w:rsidP="001E4AFE">
            <w:pPr>
              <w:rPr>
                <w:rFonts w:cstheme="minorHAnsi"/>
                <w:b/>
                <w:sz w:val="24"/>
                <w:szCs w:val="24"/>
              </w:rPr>
            </w:pPr>
            <w:bookmarkStart w:id="0" w:name="_GoBack"/>
            <w:r w:rsidRPr="00E74CA7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E74CA7" w:rsidRDefault="0022194F" w:rsidP="001E4AF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E74CA7" w:rsidTr="00CF54D3">
        <w:tc>
          <w:tcPr>
            <w:tcW w:w="4606" w:type="dxa"/>
          </w:tcPr>
          <w:p w:rsidR="0022194F" w:rsidRPr="00E74CA7" w:rsidRDefault="0022194F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>KH1</w:t>
            </w:r>
          </w:p>
        </w:tc>
      </w:tr>
      <w:tr w:rsidR="00AA48FC" w:rsidRPr="00E74CA7" w:rsidTr="00CF54D3">
        <w:tc>
          <w:tcPr>
            <w:tcW w:w="4606" w:type="dxa"/>
          </w:tcPr>
          <w:p w:rsidR="00AA48FC" w:rsidRPr="00E74CA7" w:rsidRDefault="00AA48FC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E74CA7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>19</w:t>
            </w:r>
          </w:p>
        </w:tc>
      </w:tr>
      <w:tr w:rsidR="0022194F" w:rsidRPr="00E74CA7" w:rsidTr="00CF54D3">
        <w:tc>
          <w:tcPr>
            <w:tcW w:w="4606" w:type="dxa"/>
          </w:tcPr>
          <w:p w:rsidR="0022194F" w:rsidRPr="00E74CA7" w:rsidRDefault="0022194F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>Kutná Hora</w:t>
            </w:r>
          </w:p>
        </w:tc>
      </w:tr>
      <w:tr w:rsidR="0022194F" w:rsidRPr="00E74CA7" w:rsidTr="00CF54D3">
        <w:tc>
          <w:tcPr>
            <w:tcW w:w="4606" w:type="dxa"/>
          </w:tcPr>
          <w:p w:rsidR="0022194F" w:rsidRPr="00E74CA7" w:rsidRDefault="0022194F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>Socha před Jezuitskou kolejí</w:t>
            </w:r>
          </w:p>
        </w:tc>
      </w:tr>
      <w:tr w:rsidR="0022194F" w:rsidRPr="00E74CA7" w:rsidTr="00CF54D3">
        <w:tc>
          <w:tcPr>
            <w:tcW w:w="4606" w:type="dxa"/>
          </w:tcPr>
          <w:p w:rsidR="0022194F" w:rsidRPr="00E74CA7" w:rsidRDefault="0022194F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22194F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>Tmelení</w:t>
            </w:r>
          </w:p>
        </w:tc>
      </w:tr>
      <w:tr w:rsidR="0022194F" w:rsidRPr="00E74CA7" w:rsidTr="00CF54D3">
        <w:tc>
          <w:tcPr>
            <w:tcW w:w="4606" w:type="dxa"/>
          </w:tcPr>
          <w:p w:rsidR="0022194F" w:rsidRPr="00E74CA7" w:rsidRDefault="0022194F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>Není</w:t>
            </w:r>
          </w:p>
        </w:tc>
      </w:tr>
      <w:tr w:rsidR="0022194F" w:rsidRPr="00E74CA7" w:rsidTr="00CF54D3">
        <w:tc>
          <w:tcPr>
            <w:tcW w:w="4606" w:type="dxa"/>
          </w:tcPr>
          <w:p w:rsidR="0022194F" w:rsidRPr="00E74CA7" w:rsidRDefault="0022194F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E74CA7" w:rsidTr="00CF54D3">
        <w:tc>
          <w:tcPr>
            <w:tcW w:w="4606" w:type="dxa"/>
          </w:tcPr>
          <w:p w:rsidR="0022194F" w:rsidRPr="00E74CA7" w:rsidRDefault="0022194F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E74CA7" w:rsidTr="00CF54D3">
        <w:tc>
          <w:tcPr>
            <w:tcW w:w="4606" w:type="dxa"/>
          </w:tcPr>
          <w:p w:rsidR="0022194F" w:rsidRPr="00E74CA7" w:rsidRDefault="0022194F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E74CA7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E74CA7" w:rsidRDefault="0022194F" w:rsidP="001E4AF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E74CA7" w:rsidTr="00CF54D3">
        <w:tc>
          <w:tcPr>
            <w:tcW w:w="4606" w:type="dxa"/>
          </w:tcPr>
          <w:p w:rsidR="0022194F" w:rsidRPr="00E74CA7" w:rsidRDefault="0022194F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E74CA7">
              <w:rPr>
                <w:rFonts w:cstheme="minorHAnsi"/>
                <w:sz w:val="24"/>
                <w:szCs w:val="24"/>
              </w:rPr>
              <w:t>Tišlová</w:t>
            </w:r>
            <w:proofErr w:type="spellEnd"/>
            <w:r w:rsidRPr="00E74CA7">
              <w:rPr>
                <w:rFonts w:cstheme="minorHAnsi"/>
                <w:sz w:val="24"/>
                <w:szCs w:val="24"/>
              </w:rPr>
              <w:t xml:space="preserve"> Renata</w:t>
            </w:r>
          </w:p>
        </w:tc>
      </w:tr>
      <w:tr w:rsidR="0022194F" w:rsidRPr="00E74CA7" w:rsidTr="00CF54D3">
        <w:tc>
          <w:tcPr>
            <w:tcW w:w="4606" w:type="dxa"/>
          </w:tcPr>
          <w:p w:rsidR="0022194F" w:rsidRPr="00E74CA7" w:rsidRDefault="0022194F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E74CA7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>2007</w:t>
            </w:r>
          </w:p>
        </w:tc>
      </w:tr>
      <w:tr w:rsidR="005A54E0" w:rsidRPr="00E74CA7" w:rsidTr="00CF54D3">
        <w:tc>
          <w:tcPr>
            <w:tcW w:w="4606" w:type="dxa"/>
          </w:tcPr>
          <w:p w:rsidR="005A54E0" w:rsidRPr="00E74CA7" w:rsidRDefault="005A54E0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E74CA7">
              <w:rPr>
                <w:rFonts w:cstheme="minorHAnsi"/>
                <w:b/>
                <w:sz w:val="24"/>
                <w:szCs w:val="24"/>
              </w:rPr>
              <w:t>databázi</w:t>
            </w:r>
            <w:r w:rsidRPr="00E74CA7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E74CA7" w:rsidRDefault="00E74CA7" w:rsidP="001E4AFE">
            <w:pPr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>2007_3</w:t>
            </w:r>
          </w:p>
        </w:tc>
      </w:tr>
    </w:tbl>
    <w:p w:rsidR="00AA48FC" w:rsidRPr="00E74CA7" w:rsidRDefault="00AA48FC" w:rsidP="001E4AFE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E74CA7" w:rsidTr="00CF54D3">
        <w:tc>
          <w:tcPr>
            <w:tcW w:w="10060" w:type="dxa"/>
          </w:tcPr>
          <w:p w:rsidR="00AA48FC" w:rsidRPr="00E74CA7" w:rsidRDefault="00AA48FC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E74CA7" w:rsidTr="00CF54D3">
        <w:tc>
          <w:tcPr>
            <w:tcW w:w="10060" w:type="dxa"/>
          </w:tcPr>
          <w:p w:rsidR="000C3A61" w:rsidRPr="00E74CA7" w:rsidRDefault="000C3A61" w:rsidP="001E4AF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74CA7">
              <w:rPr>
                <w:rFonts w:cstheme="minorHAnsi"/>
                <w:b/>
                <w:bCs/>
                <w:sz w:val="24"/>
                <w:szCs w:val="24"/>
              </w:rPr>
              <w:t xml:space="preserve">vzorek KH1 </w:t>
            </w:r>
          </w:p>
          <w:p w:rsidR="000C3A61" w:rsidRPr="00E74CA7" w:rsidRDefault="000C3A61" w:rsidP="001E4AFE">
            <w:pPr>
              <w:rPr>
                <w:rFonts w:cstheme="minorHAnsi"/>
                <w:bCs/>
                <w:sz w:val="24"/>
                <w:szCs w:val="24"/>
              </w:rPr>
            </w:pPr>
            <w:r w:rsidRPr="00E74CA7">
              <w:rPr>
                <w:rFonts w:cstheme="minorHAnsi"/>
                <w:bCs/>
                <w:sz w:val="24"/>
                <w:szCs w:val="24"/>
              </w:rPr>
              <w:t xml:space="preserve">U vzorku tmelu byly určeny základní fyzikální vlastnosti. </w:t>
            </w:r>
          </w:p>
          <w:p w:rsidR="000C3A61" w:rsidRPr="00E74CA7" w:rsidRDefault="000C3A61" w:rsidP="001E4AFE">
            <w:pPr>
              <w:rPr>
                <w:rFonts w:cstheme="minorHAnsi"/>
                <w:bCs/>
                <w:sz w:val="24"/>
                <w:szCs w:val="24"/>
              </w:rPr>
            </w:pPr>
            <w:r w:rsidRPr="00E74CA7">
              <w:rPr>
                <w:rFonts w:cstheme="minorHAnsi"/>
                <w:bCs/>
                <w:sz w:val="24"/>
                <w:szCs w:val="24"/>
              </w:rPr>
              <w:t>nasákavost vodou NV (</w:t>
            </w:r>
            <w:proofErr w:type="gramStart"/>
            <w:r w:rsidRPr="00E74CA7">
              <w:rPr>
                <w:rFonts w:cstheme="minorHAnsi"/>
                <w:bCs/>
                <w:sz w:val="24"/>
                <w:szCs w:val="24"/>
              </w:rPr>
              <w:t>hm.%)</w:t>
            </w:r>
            <w:proofErr w:type="gramEnd"/>
          </w:p>
          <w:p w:rsidR="000C3A61" w:rsidRPr="00E74CA7" w:rsidRDefault="000C3A61" w:rsidP="001E4AFE">
            <w:pPr>
              <w:rPr>
                <w:rFonts w:cstheme="minorHAnsi"/>
                <w:bCs/>
                <w:sz w:val="24"/>
                <w:szCs w:val="24"/>
              </w:rPr>
            </w:pPr>
            <w:r w:rsidRPr="00E74CA7">
              <w:rPr>
                <w:rFonts w:cstheme="minorHAnsi"/>
                <w:bCs/>
                <w:sz w:val="24"/>
                <w:szCs w:val="24"/>
              </w:rPr>
              <w:t xml:space="preserve">porozita </w:t>
            </w:r>
            <w:proofErr w:type="spellStart"/>
            <w:r w:rsidRPr="00E74CA7">
              <w:rPr>
                <w:rFonts w:cstheme="minorHAnsi"/>
                <w:bCs/>
                <w:sz w:val="24"/>
                <w:szCs w:val="24"/>
              </w:rPr>
              <w:t>P</w:t>
            </w:r>
            <w:r w:rsidRPr="00E74CA7">
              <w:rPr>
                <w:rFonts w:cstheme="minorHAnsi"/>
                <w:bCs/>
                <w:sz w:val="24"/>
                <w:szCs w:val="24"/>
                <w:vertAlign w:val="subscript"/>
              </w:rPr>
              <w:t>z</w:t>
            </w:r>
            <w:proofErr w:type="spellEnd"/>
            <w:r w:rsidRPr="00E74CA7">
              <w:rPr>
                <w:rFonts w:cstheme="minorHAnsi"/>
                <w:bCs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E74CA7">
              <w:rPr>
                <w:rFonts w:cstheme="minorHAnsi"/>
                <w:bCs/>
                <w:sz w:val="24"/>
                <w:szCs w:val="24"/>
              </w:rPr>
              <w:t>obj</w:t>
            </w:r>
            <w:proofErr w:type="spellEnd"/>
            <w:r w:rsidRPr="00E74CA7">
              <w:rPr>
                <w:rFonts w:cstheme="minorHAnsi"/>
                <w:bCs/>
                <w:sz w:val="24"/>
                <w:szCs w:val="24"/>
              </w:rPr>
              <w:t>.%)</w:t>
            </w:r>
            <w:proofErr w:type="gramEnd"/>
          </w:p>
          <w:p w:rsidR="00AA48FC" w:rsidRPr="00E74CA7" w:rsidRDefault="00AA48FC" w:rsidP="001E4AFE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Style w:val="Mkatabulky"/>
              <w:tblW w:w="0" w:type="auto"/>
              <w:tblLook w:val="01E0" w:firstRow="1" w:lastRow="1" w:firstColumn="1" w:lastColumn="1" w:noHBand="0" w:noVBand="0"/>
            </w:tblPr>
            <w:tblGrid>
              <w:gridCol w:w="3070"/>
              <w:gridCol w:w="3071"/>
              <w:gridCol w:w="3071"/>
            </w:tblGrid>
            <w:tr w:rsidR="000C3A61" w:rsidRPr="00E74CA7" w:rsidTr="00EF4A6F">
              <w:tc>
                <w:tcPr>
                  <w:tcW w:w="3070" w:type="dxa"/>
                </w:tcPr>
                <w:p w:rsidR="000C3A61" w:rsidRPr="00E74CA7" w:rsidRDefault="000C3A61" w:rsidP="001E4AFE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vzorek</w:t>
                  </w:r>
                </w:p>
              </w:tc>
              <w:tc>
                <w:tcPr>
                  <w:tcW w:w="3071" w:type="dxa"/>
                </w:tcPr>
                <w:p w:rsidR="000C3A61" w:rsidRPr="00E74CA7" w:rsidRDefault="000C3A61" w:rsidP="001E4AFE">
                  <w:pPr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Nasákavost vodou </w:t>
                  </w:r>
                </w:p>
                <w:p w:rsidR="000C3A61" w:rsidRPr="00E74CA7" w:rsidRDefault="000C3A61" w:rsidP="001E4AFE">
                  <w:pPr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NV (</w:t>
                  </w:r>
                  <w:proofErr w:type="gramStart"/>
                  <w:r w:rsidRPr="00E74C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hm.%)</w:t>
                  </w:r>
                  <w:proofErr w:type="gramEnd"/>
                </w:p>
              </w:tc>
              <w:tc>
                <w:tcPr>
                  <w:tcW w:w="3071" w:type="dxa"/>
                </w:tcPr>
                <w:p w:rsidR="000C3A61" w:rsidRPr="00E74CA7" w:rsidRDefault="000C3A61" w:rsidP="001E4AFE">
                  <w:pPr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porozita </w:t>
                  </w:r>
                </w:p>
                <w:p w:rsidR="000C3A61" w:rsidRPr="00E74CA7" w:rsidRDefault="000C3A61" w:rsidP="001E4AFE">
                  <w:pPr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PZ (</w:t>
                  </w:r>
                  <w:proofErr w:type="spellStart"/>
                  <w:r w:rsidRPr="00E74C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obj</w:t>
                  </w:r>
                  <w:proofErr w:type="spellEnd"/>
                  <w:r w:rsidRPr="00E74C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. %)</w:t>
                  </w:r>
                </w:p>
              </w:tc>
            </w:tr>
            <w:tr w:rsidR="000C3A61" w:rsidRPr="00E74CA7" w:rsidTr="00EF4A6F">
              <w:tc>
                <w:tcPr>
                  <w:tcW w:w="3070" w:type="dxa"/>
                </w:tcPr>
                <w:p w:rsidR="000C3A61" w:rsidRPr="00E74CA7" w:rsidRDefault="000C3A61" w:rsidP="001E4AFE">
                  <w:pPr>
                    <w:rPr>
                      <w:rFonts w:cstheme="minorHAnsi"/>
                      <w:b/>
                      <w:bCs/>
                      <w:sz w:val="24"/>
                      <w:szCs w:val="24"/>
                      <w:vertAlign w:val="subscript"/>
                    </w:rPr>
                  </w:pPr>
                  <w:r w:rsidRPr="00E74C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KH</w:t>
                  </w:r>
                </w:p>
              </w:tc>
              <w:tc>
                <w:tcPr>
                  <w:tcW w:w="3071" w:type="dxa"/>
                </w:tcPr>
                <w:p w:rsidR="000C3A61" w:rsidRPr="00E74CA7" w:rsidRDefault="000C3A61" w:rsidP="001E4AF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sz w:val="24"/>
                      <w:szCs w:val="24"/>
                    </w:rPr>
                    <w:t>14,1</w:t>
                  </w:r>
                </w:p>
              </w:tc>
              <w:tc>
                <w:tcPr>
                  <w:tcW w:w="3071" w:type="dxa"/>
                </w:tcPr>
                <w:p w:rsidR="000C3A61" w:rsidRPr="00E74CA7" w:rsidRDefault="000C3A61" w:rsidP="001E4AFE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sz w:val="24"/>
                      <w:szCs w:val="24"/>
                    </w:rPr>
                    <w:t>18,8</w:t>
                  </w:r>
                </w:p>
              </w:tc>
            </w:tr>
          </w:tbl>
          <w:p w:rsidR="000C3A61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</w:p>
          <w:p w:rsidR="000C3A61" w:rsidRPr="00E74CA7" w:rsidRDefault="000C3A61" w:rsidP="001E4AFE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E74CA7">
              <w:rPr>
                <w:rFonts w:cstheme="minorHAnsi"/>
                <w:b/>
                <w:sz w:val="24"/>
                <w:szCs w:val="24"/>
                <w:u w:val="single"/>
              </w:rPr>
              <w:t xml:space="preserve">Souhrn: </w:t>
            </w:r>
          </w:p>
          <w:p w:rsidR="000C3A61" w:rsidRPr="00E74CA7" w:rsidRDefault="000C3A61" w:rsidP="001E4AFE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0C3A61" w:rsidRPr="00E74CA7" w:rsidRDefault="000C3A61" w:rsidP="001E4AFE">
            <w:pPr>
              <w:rPr>
                <w:rFonts w:cstheme="minorHAnsi"/>
                <w:sz w:val="24"/>
                <w:szCs w:val="24"/>
                <w:u w:val="single"/>
              </w:rPr>
            </w:pPr>
            <w:r w:rsidRPr="00E74CA7">
              <w:rPr>
                <w:rFonts w:cstheme="minorHAnsi"/>
                <w:b/>
                <w:sz w:val="24"/>
                <w:szCs w:val="24"/>
                <w:u w:val="single"/>
              </w:rPr>
              <w:t xml:space="preserve">Makroskopická charakteristika materiálu štuku: </w:t>
            </w:r>
          </w:p>
          <w:p w:rsidR="000C3A61" w:rsidRPr="00E74CA7" w:rsidRDefault="000C3A61" w:rsidP="001E4AFE">
            <w:pPr>
              <w:jc w:val="both"/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 xml:space="preserve">Materiál tmelu tvoří světle šedá, tvrdá maltovina s vysokým zastoupením spíše jemnozrnného plniva ve hmotě, které vystupuje na povrch tmelu. </w:t>
            </w:r>
          </w:p>
          <w:p w:rsidR="000C3A61" w:rsidRPr="00E74CA7" w:rsidRDefault="000C3A61" w:rsidP="001E4AFE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p w:rsidR="000C3A61" w:rsidRPr="00E74CA7" w:rsidRDefault="000C3A61" w:rsidP="001E4AFE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E74CA7">
              <w:rPr>
                <w:rFonts w:cstheme="minorHAnsi"/>
                <w:b/>
                <w:sz w:val="24"/>
                <w:szCs w:val="24"/>
                <w:u w:val="single"/>
              </w:rPr>
              <w:t xml:space="preserve">Mikroskopická charakteristika materiálu štuku: </w:t>
            </w:r>
          </w:p>
          <w:p w:rsidR="000C3A61" w:rsidRPr="00E74CA7" w:rsidRDefault="000C3A61" w:rsidP="001E4AFE">
            <w:pPr>
              <w:jc w:val="both"/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 xml:space="preserve">Z mikroskopického hlediska se jedná pravděpodobně o hydraulickou maltovinu, pravděpodobnější bylo užití hydraulického pojiva ve směsi s bílým vzdušným vápnem. Malta se vyznačuje velmi porézní matrix s vysokým obsahem </w:t>
            </w:r>
            <w:proofErr w:type="spellStart"/>
            <w:r w:rsidRPr="00E74CA7">
              <w:rPr>
                <w:rFonts w:cstheme="minorHAnsi"/>
                <w:sz w:val="24"/>
                <w:szCs w:val="24"/>
              </w:rPr>
              <w:t>mikropórů</w:t>
            </w:r>
            <w:proofErr w:type="spellEnd"/>
            <w:r w:rsidRPr="00E74CA7">
              <w:rPr>
                <w:rFonts w:cstheme="minorHAnsi"/>
                <w:sz w:val="24"/>
                <w:szCs w:val="24"/>
              </w:rPr>
              <w:t>, při velkém zvětšení byly v </w:t>
            </w:r>
            <w:proofErr w:type="gramStart"/>
            <w:r w:rsidRPr="00E74CA7">
              <w:rPr>
                <w:rFonts w:cstheme="minorHAnsi"/>
                <w:sz w:val="24"/>
                <w:szCs w:val="24"/>
              </w:rPr>
              <w:t>matrix</w:t>
            </w:r>
            <w:proofErr w:type="gramEnd"/>
            <w:r w:rsidRPr="00E74CA7">
              <w:rPr>
                <w:rFonts w:cstheme="minorHAnsi"/>
                <w:sz w:val="24"/>
                <w:szCs w:val="24"/>
              </w:rPr>
              <w:t xml:space="preserve"> objeveny mikroskopické trhliny, které mohly vzniknout tuhnutím vápenného pojiva tmelu. </w:t>
            </w:r>
          </w:p>
          <w:p w:rsidR="000C3A61" w:rsidRPr="00E74CA7" w:rsidRDefault="000C3A61" w:rsidP="001E4AFE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0C3A61" w:rsidRPr="00E74CA7" w:rsidRDefault="000C3A61" w:rsidP="001E4AFE">
            <w:pPr>
              <w:jc w:val="both"/>
              <w:rPr>
                <w:rFonts w:cstheme="minorHAnsi"/>
                <w:sz w:val="24"/>
                <w:szCs w:val="24"/>
              </w:rPr>
            </w:pPr>
            <w:r w:rsidRPr="00E74CA7">
              <w:rPr>
                <w:rFonts w:cstheme="minorHAnsi"/>
                <w:sz w:val="24"/>
                <w:szCs w:val="24"/>
              </w:rPr>
              <w:t xml:space="preserve">Tmel se vyznačuje vysokou porozitou (až 14%), která mu dává vysokou nasákavost a </w:t>
            </w:r>
            <w:proofErr w:type="spellStart"/>
            <w:r w:rsidRPr="00E74CA7">
              <w:rPr>
                <w:rFonts w:cstheme="minorHAnsi"/>
                <w:sz w:val="24"/>
                <w:szCs w:val="24"/>
              </w:rPr>
              <w:t>paropropustnost</w:t>
            </w:r>
            <w:proofErr w:type="spellEnd"/>
            <w:r w:rsidRPr="00E74CA7">
              <w:rPr>
                <w:rFonts w:cstheme="minorHAnsi"/>
                <w:sz w:val="24"/>
                <w:szCs w:val="24"/>
              </w:rPr>
              <w:t xml:space="preserve">. Změření základních vlastností koreluje s vysokou odolností a dobrým stavem tohoto typu tmelu. Důležitou roli v odolnosti tohoto typu tmelu také zřejmě hraje vhodně zvolené pojivo – hydraulická složka dává tmelu dostatečnou pevnost a houževnatost, přídavek vzdušného vápna zajistil plasticitu malty a dobré fyzikální vlastnosti; dále pak poměr pojivo: plnivo (cca 1:3,5-4)a distribuce velikosti zvoleného plniva (převažují jemnozrnné částice do </w:t>
            </w:r>
            <w:smartTag w:uri="urn:schemas-microsoft-com:office:smarttags" w:element="metricconverter">
              <w:smartTagPr>
                <w:attr w:name="ProductID" w:val="0,5 mm"/>
              </w:smartTagPr>
              <w:r w:rsidRPr="00E74CA7">
                <w:rPr>
                  <w:rFonts w:cstheme="minorHAnsi"/>
                  <w:sz w:val="24"/>
                  <w:szCs w:val="24"/>
                </w:rPr>
                <w:t>0,5 mm</w:t>
              </w:r>
            </w:smartTag>
            <w:r w:rsidRPr="00E74CA7">
              <w:rPr>
                <w:rFonts w:cstheme="minorHAnsi"/>
                <w:sz w:val="24"/>
                <w:szCs w:val="24"/>
              </w:rPr>
              <w:t>).</w:t>
            </w:r>
          </w:p>
          <w:p w:rsidR="000C3A61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E74CA7" w:rsidRDefault="009A03AE" w:rsidP="001E4AFE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E74CA7" w:rsidTr="00CF54D3">
        <w:tc>
          <w:tcPr>
            <w:tcW w:w="10060" w:type="dxa"/>
          </w:tcPr>
          <w:p w:rsidR="00AA48FC" w:rsidRPr="00E74CA7" w:rsidRDefault="00AA48FC" w:rsidP="001E4AFE">
            <w:pPr>
              <w:rPr>
                <w:rFonts w:cstheme="minorHAnsi"/>
                <w:b/>
                <w:sz w:val="24"/>
                <w:szCs w:val="24"/>
              </w:rPr>
            </w:pPr>
            <w:r w:rsidRPr="00E74CA7">
              <w:rPr>
                <w:rFonts w:cstheme="minorHAnsi"/>
                <w:b/>
                <w:sz w:val="24"/>
                <w:szCs w:val="24"/>
              </w:rPr>
              <w:lastRenderedPageBreak/>
              <w:t>Fotodokumentace analýzy</w:t>
            </w:r>
          </w:p>
        </w:tc>
      </w:tr>
      <w:tr w:rsidR="00AA48FC" w:rsidRPr="00E74CA7" w:rsidTr="00CF54D3">
        <w:tc>
          <w:tcPr>
            <w:tcW w:w="10060" w:type="dxa"/>
          </w:tcPr>
          <w:p w:rsidR="000C3A61" w:rsidRPr="00E74CA7" w:rsidRDefault="000C3A61" w:rsidP="001E4AF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74CA7">
              <w:rPr>
                <w:rFonts w:cstheme="minorHAnsi"/>
                <w:b/>
                <w:bCs/>
                <w:sz w:val="24"/>
                <w:szCs w:val="24"/>
              </w:rPr>
              <w:t>1. Struktura a morfologie tmelů</w:t>
            </w:r>
          </w:p>
          <w:tbl>
            <w:tblPr>
              <w:tblStyle w:val="Mkatabulky"/>
              <w:tblW w:w="0" w:type="auto"/>
              <w:tblLook w:val="01E0" w:firstRow="1" w:lastRow="1" w:firstColumn="1" w:lastColumn="1" w:noHBand="0" w:noVBand="0"/>
            </w:tblPr>
            <w:tblGrid>
              <w:gridCol w:w="4606"/>
              <w:gridCol w:w="4606"/>
            </w:tblGrid>
            <w:tr w:rsidR="000C3A61" w:rsidRPr="00E74CA7" w:rsidTr="00EF4A6F">
              <w:tc>
                <w:tcPr>
                  <w:tcW w:w="4606" w:type="dxa"/>
                </w:tcPr>
                <w:p w:rsidR="000C3A61" w:rsidRPr="00E74CA7" w:rsidRDefault="000C3A61" w:rsidP="001E4AFE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343150" cy="1752600"/>
                        <wp:effectExtent l="0" t="0" r="0" b="0"/>
                        <wp:docPr id="4" name="Obrázek 4" descr="KH1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H1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3A61" w:rsidRPr="00E74CA7" w:rsidRDefault="000C3A61" w:rsidP="001E4AFE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sz w:val="24"/>
                      <w:szCs w:val="24"/>
                    </w:rPr>
                    <w:t>vzorek KH:</w:t>
                  </w:r>
                  <w:r w:rsidRPr="00E74CA7">
                    <w:rPr>
                      <w:rFonts w:cstheme="minorHAnsi"/>
                      <w:sz w:val="24"/>
                      <w:szCs w:val="24"/>
                    </w:rPr>
                    <w:t xml:space="preserve"> bílé procházející světlo</w:t>
                  </w:r>
                </w:p>
                <w:p w:rsidR="000C3A61" w:rsidRPr="00E74CA7" w:rsidRDefault="000C3A61" w:rsidP="001E4AFE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sz w:val="24"/>
                      <w:szCs w:val="24"/>
                    </w:rPr>
                    <w:t>zvětšeno 50x</w:t>
                  </w:r>
                </w:p>
              </w:tc>
              <w:tc>
                <w:tcPr>
                  <w:tcW w:w="4606" w:type="dxa"/>
                </w:tcPr>
                <w:p w:rsidR="000C3A61" w:rsidRPr="00E74CA7" w:rsidRDefault="000C3A61" w:rsidP="001E4AFE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343150" cy="1752600"/>
                        <wp:effectExtent l="0" t="0" r="0" b="0"/>
                        <wp:docPr id="3" name="Obrázek 3" descr="KH1X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KH1X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3A61" w:rsidRPr="00E74CA7" w:rsidRDefault="000C3A61" w:rsidP="001E4AFE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sz w:val="24"/>
                      <w:szCs w:val="24"/>
                    </w:rPr>
                    <w:t>vzorek KH:</w:t>
                  </w:r>
                  <w:r w:rsidRPr="00E74CA7">
                    <w:rPr>
                      <w:rFonts w:cstheme="minorHAnsi"/>
                      <w:sz w:val="24"/>
                      <w:szCs w:val="24"/>
                    </w:rPr>
                    <w:t xml:space="preserve"> zvětšeno 50x, </w:t>
                  </w:r>
                  <w:proofErr w:type="spellStart"/>
                  <w:r w:rsidRPr="00E74CA7">
                    <w:rPr>
                      <w:rFonts w:cstheme="minorHAnsi"/>
                      <w:sz w:val="24"/>
                      <w:szCs w:val="24"/>
                    </w:rPr>
                    <w:t>nikoly</w:t>
                  </w:r>
                  <w:proofErr w:type="spellEnd"/>
                  <w:r w:rsidRPr="00E74CA7">
                    <w:rPr>
                      <w:rFonts w:cstheme="minorHAnsi"/>
                      <w:sz w:val="24"/>
                      <w:szCs w:val="24"/>
                    </w:rPr>
                    <w:t xml:space="preserve"> X, analyzátor, zvětšeno 50x</w:t>
                  </w:r>
                </w:p>
              </w:tc>
            </w:tr>
            <w:tr w:rsidR="000C3A61" w:rsidRPr="00E74CA7" w:rsidTr="00EF4A6F">
              <w:tc>
                <w:tcPr>
                  <w:tcW w:w="4606" w:type="dxa"/>
                </w:tcPr>
                <w:p w:rsidR="000C3A61" w:rsidRPr="00E74CA7" w:rsidRDefault="000C3A61" w:rsidP="001E4AFE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343150" cy="1752600"/>
                        <wp:effectExtent l="0" t="0" r="0" b="0"/>
                        <wp:docPr id="2" name="Obrázek 2" descr="KH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H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3A61" w:rsidRPr="00E74CA7" w:rsidRDefault="000C3A61" w:rsidP="001E4AFE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sz w:val="24"/>
                      <w:szCs w:val="24"/>
                    </w:rPr>
                    <w:t>REM-BEI:</w:t>
                  </w:r>
                  <w:r w:rsidRPr="00E74CA7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606" w:type="dxa"/>
                </w:tcPr>
                <w:p w:rsidR="000C3A61" w:rsidRPr="00E74CA7" w:rsidRDefault="000C3A61" w:rsidP="001E4AFE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343150" cy="1752600"/>
                        <wp:effectExtent l="0" t="0" r="0" b="0"/>
                        <wp:docPr id="1" name="Obrázek 1" descr="KH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KH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3A61" w:rsidRPr="00E74CA7" w:rsidRDefault="000C3A61" w:rsidP="001E4AFE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sz w:val="24"/>
                      <w:szCs w:val="24"/>
                    </w:rPr>
                    <w:t xml:space="preserve">REM-BEI: </w:t>
                  </w:r>
                </w:p>
              </w:tc>
            </w:tr>
            <w:tr w:rsidR="000C3A61" w:rsidRPr="00E74CA7" w:rsidTr="00EF4A6F">
              <w:tc>
                <w:tcPr>
                  <w:tcW w:w="9212" w:type="dxa"/>
                  <w:gridSpan w:val="2"/>
                </w:tcPr>
                <w:p w:rsidR="000C3A61" w:rsidRPr="00E74CA7" w:rsidRDefault="000C3A61" w:rsidP="001E4AFE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E74C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Popis:</w:t>
                  </w:r>
                  <w:r w:rsidRPr="00E74CA7">
                    <w:rPr>
                      <w:rFonts w:cstheme="minorHAnsi"/>
                      <w:bCs/>
                      <w:sz w:val="24"/>
                      <w:szCs w:val="24"/>
                    </w:rPr>
                    <w:t xml:space="preserve"> Vzorek tmelu je charakteristický vysokým podílem plniva ve hmotě. Plnivem je čistě křemičitý písek s distribucí částic 0,1-</w:t>
                  </w:r>
                  <w:smartTag w:uri="urn:schemas-microsoft-com:office:smarttags" w:element="metricconverter">
                    <w:smartTagPr>
                      <w:attr w:name="ProductID" w:val="0,5 mm"/>
                    </w:smartTagPr>
                    <w:r w:rsidRPr="00E74CA7">
                      <w:rPr>
                        <w:rFonts w:cstheme="minorHAnsi"/>
                        <w:bCs/>
                        <w:sz w:val="24"/>
                        <w:szCs w:val="24"/>
                      </w:rPr>
                      <w:t>0,5 mm</w:t>
                    </w:r>
                  </w:smartTag>
                  <w:r w:rsidRPr="00E74CA7">
                    <w:rPr>
                      <w:rFonts w:cstheme="minorHAnsi"/>
                      <w:bCs/>
                      <w:sz w:val="24"/>
                      <w:szCs w:val="24"/>
                    </w:rPr>
                    <w:t xml:space="preserve">. Matrix </w:t>
                  </w:r>
                  <w:proofErr w:type="spellStart"/>
                  <w:r w:rsidRPr="00E74CA7">
                    <w:rPr>
                      <w:rFonts w:cstheme="minorHAnsi"/>
                      <w:bCs/>
                      <w:sz w:val="24"/>
                      <w:szCs w:val="24"/>
                    </w:rPr>
                    <w:t>okrovo</w:t>
                  </w:r>
                  <w:proofErr w:type="spellEnd"/>
                  <w:r w:rsidRPr="00E74CA7">
                    <w:rPr>
                      <w:rFonts w:cstheme="minorHAnsi"/>
                      <w:bCs/>
                      <w:sz w:val="24"/>
                      <w:szCs w:val="24"/>
                    </w:rPr>
                    <w:t xml:space="preserve">-šedé barvy vyplňuje prostor mezi zrny plniva, charakteristická je vysoce porézní struktura – póry mají kulovitý tvar. Ve hmotě jsou lokálně patrné mikrotrhliny, které mohly vzniknout při tuhnutí pojiva. </w:t>
                  </w:r>
                  <w:r w:rsidRPr="00E74CA7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0C3A61" w:rsidRPr="00E74CA7" w:rsidRDefault="000C3A61" w:rsidP="001E4AFE">
            <w:pPr>
              <w:rPr>
                <w:rFonts w:cstheme="minorHAnsi"/>
                <w:sz w:val="24"/>
                <w:szCs w:val="24"/>
              </w:rPr>
            </w:pPr>
          </w:p>
        </w:tc>
      </w:tr>
      <w:bookmarkEnd w:id="0"/>
    </w:tbl>
    <w:p w:rsidR="0022194F" w:rsidRPr="00E74CA7" w:rsidRDefault="0022194F" w:rsidP="001E4AFE">
      <w:pPr>
        <w:spacing w:line="240" w:lineRule="auto"/>
        <w:rPr>
          <w:rFonts w:cstheme="minorHAnsi"/>
          <w:sz w:val="24"/>
          <w:szCs w:val="24"/>
        </w:rPr>
      </w:pPr>
    </w:p>
    <w:sectPr w:rsidR="0022194F" w:rsidRPr="00E74CA7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179" w:rsidRDefault="00D53179" w:rsidP="00AA48FC">
      <w:pPr>
        <w:spacing w:after="0" w:line="240" w:lineRule="auto"/>
      </w:pPr>
      <w:r>
        <w:separator/>
      </w:r>
    </w:p>
  </w:endnote>
  <w:endnote w:type="continuationSeparator" w:id="0">
    <w:p w:rsidR="00D53179" w:rsidRDefault="00D5317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179" w:rsidRDefault="00D53179" w:rsidP="00AA48FC">
      <w:pPr>
        <w:spacing w:after="0" w:line="240" w:lineRule="auto"/>
      </w:pPr>
      <w:r>
        <w:separator/>
      </w:r>
    </w:p>
  </w:footnote>
  <w:footnote w:type="continuationSeparator" w:id="0">
    <w:p w:rsidR="00D53179" w:rsidRDefault="00D5317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C3A61"/>
    <w:rsid w:val="001E4AFE"/>
    <w:rsid w:val="0021097B"/>
    <w:rsid w:val="0022194F"/>
    <w:rsid w:val="002A6926"/>
    <w:rsid w:val="003D0950"/>
    <w:rsid w:val="005A54E0"/>
    <w:rsid w:val="005C155B"/>
    <w:rsid w:val="00647E78"/>
    <w:rsid w:val="00883A58"/>
    <w:rsid w:val="009A03AE"/>
    <w:rsid w:val="009D0791"/>
    <w:rsid w:val="00AA48FC"/>
    <w:rsid w:val="00C30ACE"/>
    <w:rsid w:val="00C74C8C"/>
    <w:rsid w:val="00CC1EA8"/>
    <w:rsid w:val="00CF54D3"/>
    <w:rsid w:val="00D53179"/>
    <w:rsid w:val="00E74CA7"/>
    <w:rsid w:val="00EB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341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2021-09-06T08:57:00Z</dcterms:created>
  <dcterms:modified xsi:type="dcterms:W3CDTF">2021-09-06T10:36:00Z</dcterms:modified>
</cp:coreProperties>
</file>