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E505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69"/>
        <w:gridCol w:w="8916"/>
      </w:tblGrid>
      <w:tr w:rsidR="00821499" w:rsidRPr="002E505F" w14:paraId="308E4BCF" w14:textId="77777777" w:rsidTr="00EF685D">
        <w:tc>
          <w:tcPr>
            <w:tcW w:w="4606" w:type="dxa"/>
          </w:tcPr>
          <w:p w14:paraId="42DD7B2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8F53137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875</w:t>
            </w:r>
            <w:r w:rsidR="00635DF4">
              <w:rPr>
                <w:rFonts w:cstheme="minorHAnsi"/>
              </w:rPr>
              <w:t>8</w:t>
            </w:r>
          </w:p>
        </w:tc>
      </w:tr>
      <w:tr w:rsidR="00821499" w:rsidRPr="002E505F" w14:paraId="616D8CF9" w14:textId="77777777" w:rsidTr="00EF685D">
        <w:tc>
          <w:tcPr>
            <w:tcW w:w="4606" w:type="dxa"/>
          </w:tcPr>
          <w:p w14:paraId="5DFEFE58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BA5E883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635DF4">
              <w:rPr>
                <w:rFonts w:cstheme="minorHAnsi"/>
              </w:rPr>
              <w:t>3</w:t>
            </w:r>
          </w:p>
        </w:tc>
      </w:tr>
      <w:tr w:rsidR="00821499" w:rsidRPr="002E505F" w14:paraId="106D8ED7" w14:textId="77777777" w:rsidTr="00EF685D">
        <w:tc>
          <w:tcPr>
            <w:tcW w:w="4606" w:type="dxa"/>
          </w:tcPr>
          <w:p w14:paraId="42C61C07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Pořadové číslo karty vzorku v </w:t>
            </w:r>
            <w:r w:rsidR="000A6440" w:rsidRPr="002E505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B16A589" w:rsidR="00AA48FC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162</w:t>
            </w:r>
            <w:r w:rsidR="00635DF4">
              <w:rPr>
                <w:rFonts w:cstheme="minorHAnsi"/>
              </w:rPr>
              <w:t>7</w:t>
            </w:r>
          </w:p>
        </w:tc>
      </w:tr>
      <w:tr w:rsidR="00821499" w:rsidRPr="002E505F" w14:paraId="32CF643C" w14:textId="77777777" w:rsidTr="00EF685D">
        <w:tc>
          <w:tcPr>
            <w:tcW w:w="4606" w:type="dxa"/>
          </w:tcPr>
          <w:p w14:paraId="560D95E3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562A849" w:rsidR="0022194F" w:rsidRPr="002E505F" w:rsidRDefault="002E505F" w:rsidP="00821499">
            <w:pPr>
              <w:rPr>
                <w:rFonts w:cstheme="minorHAnsi"/>
              </w:rPr>
            </w:pPr>
            <w:proofErr w:type="spellStart"/>
            <w:r w:rsidRPr="002E505F">
              <w:rPr>
                <w:rFonts w:cstheme="minorHAnsi"/>
              </w:rPr>
              <w:t>Olivětín</w:t>
            </w:r>
            <w:proofErr w:type="spellEnd"/>
            <w:r w:rsidRPr="002E505F">
              <w:rPr>
                <w:rFonts w:cstheme="minorHAnsi"/>
              </w:rPr>
              <w:t>, Kaple Bolestné P. M. část I</w:t>
            </w:r>
          </w:p>
        </w:tc>
      </w:tr>
      <w:tr w:rsidR="00821499" w:rsidRPr="002E505F" w14:paraId="7F8D2B97" w14:textId="77777777" w:rsidTr="00EF685D">
        <w:tc>
          <w:tcPr>
            <w:tcW w:w="4606" w:type="dxa"/>
          </w:tcPr>
          <w:p w14:paraId="5945127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7088702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Nástropní malby Kaple Bolestné P. M.</w:t>
            </w:r>
          </w:p>
        </w:tc>
      </w:tr>
      <w:tr w:rsidR="00821499" w:rsidRPr="002E505F" w14:paraId="54033E58" w14:textId="77777777" w:rsidTr="00EF685D">
        <w:tc>
          <w:tcPr>
            <w:tcW w:w="4606" w:type="dxa"/>
          </w:tcPr>
          <w:p w14:paraId="65CE29A7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6987BD" w:rsidR="0022194F" w:rsidRPr="002E505F" w:rsidRDefault="002E505F" w:rsidP="00821499">
            <w:pPr>
              <w:rPr>
                <w:rFonts w:cstheme="minorHAnsi"/>
              </w:rPr>
            </w:pPr>
            <w:r>
              <w:object w:dxaOrig="8700" w:dyaOrig="3540" w14:anchorId="6CA671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177pt" o:ole="">
                  <v:imagedata r:id="rId7" o:title=""/>
                </v:shape>
                <o:OLEObject Type="Embed" ProgID="PBrush" ShapeID="_x0000_i1025" DrawAspect="Content" ObjectID="_1730795275" r:id="rId8"/>
              </w:object>
            </w:r>
          </w:p>
        </w:tc>
      </w:tr>
      <w:tr w:rsidR="00821499" w:rsidRPr="002E505F" w14:paraId="5E1A21DD" w14:textId="77777777" w:rsidTr="00EF685D">
        <w:tc>
          <w:tcPr>
            <w:tcW w:w="4606" w:type="dxa"/>
          </w:tcPr>
          <w:p w14:paraId="1B7B874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172BD457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object w:dxaOrig="8400" w:dyaOrig="9825" w14:anchorId="51DC9ACF">
                <v:shape id="_x0000_i1026" type="#_x0000_t75" style="width:420pt;height:491.25pt" o:ole="">
                  <v:imagedata r:id="rId9" o:title=""/>
                </v:shape>
                <o:OLEObject Type="Embed" ProgID="PBrush" ShapeID="_x0000_i1026" DrawAspect="Content" ObjectID="_1730795276" r:id="rId10"/>
              </w:object>
            </w:r>
          </w:p>
        </w:tc>
      </w:tr>
      <w:tr w:rsidR="00821499" w:rsidRPr="002E505F" w14:paraId="0ACABA34" w14:textId="77777777" w:rsidTr="00EF685D">
        <w:tc>
          <w:tcPr>
            <w:tcW w:w="4606" w:type="dxa"/>
          </w:tcPr>
          <w:p w14:paraId="2B920B9B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C199A7B" w:rsidR="0022194F" w:rsidRPr="002E505F" w:rsidRDefault="005F7C2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2E505F" w14:paraId="7715CB8F" w14:textId="77777777" w:rsidTr="00EF685D">
        <w:tc>
          <w:tcPr>
            <w:tcW w:w="4606" w:type="dxa"/>
          </w:tcPr>
          <w:p w14:paraId="1E56020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19E9D15" w:rsidR="0022194F" w:rsidRPr="002E505F" w:rsidRDefault="00524CE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2E505F" w14:paraId="20A918C5" w14:textId="77777777" w:rsidTr="00EF685D">
        <w:tc>
          <w:tcPr>
            <w:tcW w:w="4606" w:type="dxa"/>
          </w:tcPr>
          <w:p w14:paraId="1A2F26B6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Datace</w:t>
            </w:r>
            <w:r w:rsidR="00AA48FC" w:rsidRPr="002E50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4A257A6" w:rsidR="0022194F" w:rsidRPr="00036877" w:rsidRDefault="00036877" w:rsidP="00036877">
            <w:pPr>
              <w:autoSpaceDE w:val="0"/>
              <w:autoSpaceDN w:val="0"/>
              <w:adjustRightInd w:val="0"/>
              <w:rPr>
                <w:rFonts w:ascii="GillSansMT" w:hAnsi="GillSansMT" w:cs="GillSansMT"/>
              </w:rPr>
            </w:pPr>
            <w:r>
              <w:rPr>
                <w:rFonts w:cstheme="minorHAnsi"/>
              </w:rPr>
              <w:t>18.století (</w:t>
            </w:r>
            <w:r>
              <w:rPr>
                <w:rFonts w:ascii="GillSansMT" w:hAnsi="GillSansMT" w:cs="GillSansMT"/>
              </w:rPr>
              <w:t>výstavba kaple poč. 18. století (baroko), realizace maleb 60. léta 18. století)</w:t>
            </w:r>
          </w:p>
        </w:tc>
      </w:tr>
      <w:tr w:rsidR="00821499" w:rsidRPr="002E505F" w14:paraId="0BF9C387" w14:textId="77777777" w:rsidTr="00EF685D">
        <w:tc>
          <w:tcPr>
            <w:tcW w:w="4606" w:type="dxa"/>
          </w:tcPr>
          <w:p w14:paraId="12280DD1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8DA0B22" w:rsidR="0022194F" w:rsidRPr="002E505F" w:rsidRDefault="00036877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Tišlová</w:t>
            </w:r>
            <w:proofErr w:type="spellEnd"/>
            <w:r>
              <w:rPr>
                <w:rFonts w:cstheme="minorHAnsi"/>
              </w:rPr>
              <w:t xml:space="preserve"> Renata</w:t>
            </w:r>
          </w:p>
        </w:tc>
      </w:tr>
      <w:tr w:rsidR="00821499" w:rsidRPr="002E505F" w14:paraId="3B388C43" w14:textId="77777777" w:rsidTr="00EF685D">
        <w:tc>
          <w:tcPr>
            <w:tcW w:w="4606" w:type="dxa"/>
          </w:tcPr>
          <w:p w14:paraId="07CED6AE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Datum zpracování zprávy</w:t>
            </w:r>
            <w:r w:rsidR="00AA48FC" w:rsidRPr="002E50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30302C4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28. 9. 2017</w:t>
            </w:r>
          </w:p>
        </w:tc>
      </w:tr>
      <w:tr w:rsidR="005A54E0" w:rsidRPr="002E505F" w14:paraId="39B656B6" w14:textId="77777777" w:rsidTr="00EF685D">
        <w:tc>
          <w:tcPr>
            <w:tcW w:w="4606" w:type="dxa"/>
          </w:tcPr>
          <w:p w14:paraId="0369BDA3" w14:textId="77777777" w:rsidR="005A54E0" w:rsidRPr="002E505F" w:rsidRDefault="005A54E0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Číslo příslušné zprávy </w:t>
            </w:r>
            <w:r w:rsidRPr="002E505F">
              <w:rPr>
                <w:rFonts w:cstheme="minorHAnsi"/>
                <w:b/>
              </w:rPr>
              <w:lastRenderedPageBreak/>
              <w:t>v </w:t>
            </w:r>
            <w:r w:rsidR="000A6440" w:rsidRPr="002E505F">
              <w:rPr>
                <w:rFonts w:cstheme="minorHAnsi"/>
                <w:b/>
              </w:rPr>
              <w:t>databázi</w:t>
            </w:r>
            <w:r w:rsidRPr="002E50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A6461EE" w:rsidR="005A54E0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2017_38</w:t>
            </w:r>
          </w:p>
        </w:tc>
      </w:tr>
    </w:tbl>
    <w:p w14:paraId="2329459B" w14:textId="77777777" w:rsidR="00AA48FC" w:rsidRPr="002E505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6"/>
      </w:tblGrid>
      <w:tr w:rsidR="00821499" w:rsidRPr="002E505F" w14:paraId="5F13C4C5" w14:textId="77777777" w:rsidTr="00EF685D">
        <w:tc>
          <w:tcPr>
            <w:tcW w:w="10485" w:type="dxa"/>
          </w:tcPr>
          <w:p w14:paraId="01601BB6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05F" w14:paraId="40D63742" w14:textId="77777777" w:rsidTr="00EF685D">
        <w:tc>
          <w:tcPr>
            <w:tcW w:w="10485" w:type="dxa"/>
          </w:tcPr>
          <w:p w14:paraId="1C89CE2F" w14:textId="408423A3" w:rsidR="00AA48FC" w:rsidRDefault="00AA48FC" w:rsidP="00821499">
            <w:pPr>
              <w:rPr>
                <w:rFonts w:cstheme="minorHAnsi"/>
              </w:rPr>
            </w:pPr>
          </w:p>
          <w:p w14:paraId="2857ED32" w14:textId="50336DDB" w:rsidR="002E505F" w:rsidRDefault="002E505F" w:rsidP="00821499">
            <w:pPr>
              <w:rPr>
                <w:rFonts w:cstheme="minorHAnsi"/>
              </w:rPr>
            </w:pPr>
          </w:p>
          <w:p w14:paraId="600A4A77" w14:textId="5CFCFCA1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VÝSLEDKY PRŮZKUMU - STRATIGRAFIE, SLOŽENÍ BAREVNÝCH VRSTEV</w:t>
            </w:r>
          </w:p>
          <w:p w14:paraId="707489B2" w14:textId="41D3705E" w:rsidR="00524CE0" w:rsidRDefault="00524CE0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678AA5FB" w14:textId="4385C303" w:rsidR="00524CE0" w:rsidRDefault="00524CE0" w:rsidP="00524CE0">
            <w:pPr>
              <w:tabs>
                <w:tab w:val="left" w:pos="4530"/>
              </w:tabs>
              <w:rPr>
                <w:rFonts w:ascii="Calibri-Bold" w:hAnsi="Calibri-Bold" w:cs="Calibri-Bold"/>
                <w:b/>
                <w:bCs/>
              </w:rPr>
            </w:pP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374304C5" wp14:editId="0D659824">
                  <wp:extent cx="2250896" cy="3123415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87" cy="314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7D973097" wp14:editId="2C300BAA">
                  <wp:extent cx="4048125" cy="3158490"/>
                  <wp:effectExtent l="0" t="0" r="952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84" cy="31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-Bold" w:hAnsi="Calibri-Bold" w:cs="Calibri-Bold"/>
                <w:b/>
                <w:bCs/>
              </w:rPr>
              <w:tab/>
            </w:r>
          </w:p>
          <w:p w14:paraId="4DF07567" w14:textId="1CD4D1AD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2B7CAAD9" w14:textId="5589CF35" w:rsidR="002E505F" w:rsidRDefault="00635DF4" w:rsidP="00821499">
            <w:r>
              <w:object w:dxaOrig="10260" w:dyaOrig="10725" w14:anchorId="3727FCF0">
                <v:shape id="_x0000_i1040" type="#_x0000_t75" style="width:513pt;height:536.25pt" o:ole="">
                  <v:imagedata r:id="rId13" o:title=""/>
                </v:shape>
                <o:OLEObject Type="Embed" ProgID="PBrush" ShapeID="_x0000_i1040" DrawAspect="Content" ObjectID="_1730795277" r:id="rId14"/>
              </w:object>
            </w:r>
          </w:p>
          <w:p w14:paraId="22DEF900" w14:textId="4C4D25D9" w:rsidR="00635DF4" w:rsidRDefault="00635DF4" w:rsidP="00821499">
            <w:r>
              <w:object w:dxaOrig="10470" w:dyaOrig="8205" w14:anchorId="3F26129D">
                <v:shape id="_x0000_i1043" type="#_x0000_t75" style="width:523.5pt;height:410.25pt" o:ole="">
                  <v:imagedata r:id="rId15" o:title=""/>
                </v:shape>
                <o:OLEObject Type="Embed" ProgID="PBrush" ShapeID="_x0000_i1043" DrawAspect="Content" ObjectID="_1730795278" r:id="rId16"/>
              </w:object>
            </w:r>
          </w:p>
          <w:p w14:paraId="03F89F08" w14:textId="73F99B5E" w:rsidR="00240FF4" w:rsidRDefault="00240FF4" w:rsidP="00821499"/>
          <w:p w14:paraId="49CA5E75" w14:textId="307B04BC" w:rsidR="00240FF4" w:rsidRDefault="00240FF4" w:rsidP="00821499"/>
          <w:p w14:paraId="5F298C58" w14:textId="57FA0461" w:rsidR="002E505F" w:rsidRDefault="002E505F" w:rsidP="00821499"/>
          <w:p w14:paraId="2D86D31C" w14:textId="6F65C22F" w:rsidR="002E505F" w:rsidRDefault="002E505F" w:rsidP="00821499"/>
          <w:p w14:paraId="7C122487" w14:textId="77777777" w:rsidR="002E505F" w:rsidRPr="002E505F" w:rsidRDefault="002E505F" w:rsidP="00821499">
            <w:pPr>
              <w:rPr>
                <w:rFonts w:cstheme="minorHAnsi"/>
              </w:rPr>
            </w:pPr>
          </w:p>
          <w:p w14:paraId="458C6A33" w14:textId="7FC0A695" w:rsidR="0065280A" w:rsidRPr="002E505F" w:rsidRDefault="0065280A" w:rsidP="00821499">
            <w:pPr>
              <w:rPr>
                <w:rFonts w:cstheme="minorHAnsi"/>
              </w:rPr>
            </w:pPr>
          </w:p>
          <w:p w14:paraId="2C14ECE1" w14:textId="05D7A44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SHRNUTÍ VÝSLEDKŮ, ZÁVĚR</w:t>
            </w:r>
          </w:p>
          <w:p w14:paraId="3CC5101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9D0318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Chemicko-technologický průzkum nástropních maleb v kapli Bolestné Panny Marie v </w:t>
            </w:r>
            <w:proofErr w:type="spellStart"/>
            <w:r w:rsidRPr="002E505F">
              <w:rPr>
                <w:rFonts w:cstheme="minorHAnsi"/>
              </w:rPr>
              <w:t>Olivětíně</w:t>
            </w:r>
            <w:proofErr w:type="spellEnd"/>
            <w:r w:rsidRPr="002E505F">
              <w:rPr>
                <w:rFonts w:cstheme="minorHAnsi"/>
              </w:rPr>
              <w:t xml:space="preserve"> je prováděn</w:t>
            </w:r>
          </w:p>
          <w:p w14:paraId="0309E8C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rámci restaurátorského zásahu, který na nástropních malbách probíhá v roce 2017-2018. Předkládaný</w:t>
            </w:r>
          </w:p>
          <w:p w14:paraId="435933A9" w14:textId="1CC75AD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 představuje jeho první část (předběžný průzkum), na nějž naváže rozšířený průzkum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provedený v souvislostech nových poznatků zjištěných průzkumem in-</w:t>
            </w:r>
            <w:proofErr w:type="spellStart"/>
            <w:r w:rsidRPr="002E505F">
              <w:rPr>
                <w:rFonts w:cstheme="minorHAnsi"/>
              </w:rPr>
              <w:t>situ</w:t>
            </w:r>
            <w:proofErr w:type="spellEnd"/>
            <w:r w:rsidRPr="002E505F">
              <w:rPr>
                <w:rFonts w:cstheme="minorHAnsi"/>
              </w:rPr>
              <w:t xml:space="preserve"> (Část 2).</w:t>
            </w:r>
          </w:p>
          <w:p w14:paraId="26F562B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1FA38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Předmětem průzkumu jsou figurální nástropní malby, původně barokní, které byly v minulosti celoplošně</w:t>
            </w:r>
          </w:p>
          <w:p w14:paraId="68D1304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přemalovány. Rozsah a podoba originální malby není v současnosti zcela známa. Informaci k charakterizaci</w:t>
            </w:r>
          </w:p>
          <w:p w14:paraId="3C371E5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originálu i přemaleb má částečně přinést chemicko-technologický průzkum maleb, který byl zaměřen</w:t>
            </w:r>
          </w:p>
          <w:p w14:paraId="2994C38F" w14:textId="2ED8FA8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na dva základní dílčí cíle:</w:t>
            </w:r>
          </w:p>
          <w:p w14:paraId="55108E3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1EFC6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Dokumentace a popis stratigrafie malby - důraz průzkumu byl kladen na rozpoznání původní malby a</w:t>
            </w:r>
          </w:p>
          <w:p w14:paraId="7EC5986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přemaleb, jejich popis a dokumentaci. Na základě stratigrafie lze vyvodit základní popis techniky, výstavby</w:t>
            </w:r>
          </w:p>
          <w:p w14:paraId="7D74FFA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a barevnost původních maleb a přemaleb. Výsledky průzkumu budou porovnávány se sondážním</w:t>
            </w:r>
          </w:p>
          <w:p w14:paraId="0C80D8A1" w14:textId="772BFCF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průzkumem provedeným na malbách in-</w:t>
            </w:r>
            <w:proofErr w:type="spellStart"/>
            <w:r w:rsidRPr="002E505F">
              <w:rPr>
                <w:rFonts w:cstheme="minorHAnsi"/>
              </w:rPr>
              <w:t>situ</w:t>
            </w:r>
            <w:proofErr w:type="spellEnd"/>
            <w:r w:rsidRPr="002E505F">
              <w:rPr>
                <w:rFonts w:cstheme="minorHAnsi"/>
              </w:rPr>
              <w:t>.</w:t>
            </w:r>
          </w:p>
          <w:p w14:paraId="6D95542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3510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Materiálová skladba malby originálu a přemaleb - součástí průzkumu je identifikace materiálových</w:t>
            </w:r>
          </w:p>
          <w:p w14:paraId="08498B9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složek malby a přemaleb, na jejímž základě může dojít k přesnější identifikaci originálu a jednotlivých</w:t>
            </w:r>
          </w:p>
          <w:p w14:paraId="087DAD6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fází úprav/přemaleb. V rámci průzkumu byla určena paleta užitých pigmentů, případně dalších složek</w:t>
            </w:r>
          </w:p>
          <w:p w14:paraId="5870FD3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vrstev. Z průzkumu dále vyplynula i orientační skladba pojiva nejstarších vrstev malby, na jejímž základě</w:t>
            </w:r>
          </w:p>
          <w:p w14:paraId="01AEE9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bude možné provést podrobnější porovnání originální malby i přemaleb. Bližší identifikace pojiva vrstev</w:t>
            </w:r>
          </w:p>
          <w:p w14:paraId="2E3E7250" w14:textId="14CAE2F2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nejstarší malby i přemaleb bude provedena v rámci rozšířeného průzkumu.</w:t>
            </w:r>
          </w:p>
          <w:p w14:paraId="467111F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B42DE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malby byly odebrány celkem 4 vzorky z různých barevných částí malby. Selektivně byly vybrány vzorky</w:t>
            </w:r>
          </w:p>
          <w:p w14:paraId="1750A7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modré či modro-zelené barevné části (V1/8756, resp. V3/8758), žluté (V2/8757), inkarnátu (V4/8759, u</w:t>
            </w:r>
          </w:p>
          <w:p w14:paraId="0C34755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vzorku byly připraveny dva úlomky označené V4a a V4b). Průzkum byl proveden pomocí mikroskopických</w:t>
            </w:r>
          </w:p>
          <w:p w14:paraId="538561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technik, optické a skenovací elektronové mikroskopie s mikrosondou (SEM-EDX). Vzorky byly pro</w:t>
            </w:r>
          </w:p>
          <w:p w14:paraId="3EE8BAD0" w14:textId="7ACBF9F6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účely průzkumu upraveny do formy nábrusů, příčných řezů vzorky.</w:t>
            </w:r>
          </w:p>
          <w:p w14:paraId="7E4157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5392E9" w14:textId="2BC73440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Výsledky průzkumu:</w:t>
            </w:r>
          </w:p>
          <w:p w14:paraId="142C583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E37A3D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Stratigrafie všech odebraných vzorků nese některé podobné charakteristiky z hlediska výstavby</w:t>
            </w:r>
          </w:p>
          <w:p w14:paraId="3795A64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původních vrstev i přemaleb.</w:t>
            </w:r>
          </w:p>
          <w:p w14:paraId="0319E81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 vrstvy - původní souvrství je u všech vzorků patrně nekompletně dochované. Je tvořeno omítkovou</w:t>
            </w:r>
          </w:p>
          <w:p w14:paraId="13E86C9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a jednou vrstvou (V1) či více vrstvami (V2, V3) barevného podkladu. Samotná vrstva malby</w:t>
            </w:r>
          </w:p>
          <w:p w14:paraId="569B320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patrně u všech vzorků chybí nebo je zachovaná pravděpodobně jen jako červená </w:t>
            </w:r>
            <w:proofErr w:type="spellStart"/>
            <w:r w:rsidRPr="002E505F">
              <w:rPr>
                <w:rFonts w:cstheme="minorHAnsi"/>
              </w:rPr>
              <w:t>rozkresba</w:t>
            </w:r>
            <w:proofErr w:type="spellEnd"/>
            <w:r w:rsidRPr="002E505F">
              <w:rPr>
                <w:rFonts w:cstheme="minorHAnsi"/>
              </w:rPr>
              <w:t xml:space="preserve"> (vzorek</w:t>
            </w:r>
          </w:p>
          <w:p w14:paraId="1ADB1E7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V4a, b, nezřetelně také V1 a V3). Barevný podklad je u většiny vzorků zelený nebo nazelenalý (může mít</w:t>
            </w:r>
          </w:p>
          <w:p w14:paraId="632CB8F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několik barevných tónů vzniklých kombinací vápna, zeleného pigmentu a červené a žluté hlinky). Výjimku</w:t>
            </w:r>
          </w:p>
          <w:p w14:paraId="45C0874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tvoří vzorek V3, u kterého je zelený podklad nezřetelně dochován a na omítce je nanesen podklad ve</w:t>
            </w:r>
          </w:p>
          <w:p w14:paraId="6E2BB656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sv. modré barevnosti (viz. Obr. 5). </w:t>
            </w:r>
          </w:p>
          <w:p w14:paraId="061203A3" w14:textId="0441DF99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podkladu je s omítkovou vrstvou provázaná (vzorek V1) nebo</w:t>
            </w:r>
          </w:p>
          <w:p w14:paraId="7C22461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 mezi vrstvami nachází rozhraní tvořené vyzrálou vrstvou vápna z omítky (vzorky V2 a V3), u vzorku</w:t>
            </w:r>
          </w:p>
          <w:p w14:paraId="49E73A2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 omítková vrstva chybí a způsob nanášení podkladové vrstvy nelze jednoznačně určit. Vrstva nejstarší</w:t>
            </w:r>
          </w:p>
          <w:p w14:paraId="46AE5F0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malby (přesněji spíše </w:t>
            </w:r>
            <w:proofErr w:type="spellStart"/>
            <w:r w:rsidRPr="002E505F">
              <w:rPr>
                <w:rFonts w:cstheme="minorHAnsi"/>
              </w:rPr>
              <w:t>rozkresba</w:t>
            </w:r>
            <w:proofErr w:type="spellEnd"/>
            <w:r w:rsidRPr="002E505F">
              <w:rPr>
                <w:rFonts w:cstheme="minorHAnsi"/>
              </w:rPr>
              <w:t>) je dochovaná zřetelně pouze u vzorku V4 (úlomek a i b, označené jako</w:t>
            </w:r>
          </w:p>
          <w:p w14:paraId="2A7F80B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2). Vrstva je patrně provedena ve vápenné technice s obsahem červené hlinky. U úlomku V4a je</w:t>
            </w:r>
          </w:p>
          <w:p w14:paraId="787A57D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červená propojená s vrstvou podkladu, naopak u vzorku V4b je mezi vrstvami podkladu a barevnou</w:t>
            </w:r>
          </w:p>
          <w:p w14:paraId="36D30144" w14:textId="65EBFC61" w:rsidR="0065280A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patrné rozhraní.</w:t>
            </w:r>
          </w:p>
          <w:p w14:paraId="293E12F8" w14:textId="4D6A85FD" w:rsidR="002E505F" w:rsidRPr="002E505F" w:rsidRDefault="002E505F" w:rsidP="002E505F">
            <w:pPr>
              <w:rPr>
                <w:rFonts w:cstheme="minorHAnsi"/>
              </w:rPr>
            </w:pPr>
          </w:p>
          <w:p w14:paraId="14EAFC4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souvislosti s posuzování stáří této barevné vrstvy je však nutné vyslovit i domněnku, že by tato vrstva</w:t>
            </w:r>
          </w:p>
          <w:p w14:paraId="15DC25C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nemusela být součástí nejstarší malby; ve vrstvě byl zachycen zvýšený obsah zinkové běloby, který byl spíše</w:t>
            </w:r>
          </w:p>
          <w:p w14:paraId="39A206C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interpretován jako kontaminace z mladších </w:t>
            </w:r>
            <w:proofErr w:type="spellStart"/>
            <w:r w:rsidRPr="002E505F">
              <w:rPr>
                <w:rFonts w:cstheme="minorHAnsi"/>
              </w:rPr>
              <w:t>vrtev</w:t>
            </w:r>
            <w:proofErr w:type="spellEnd"/>
            <w:r w:rsidRPr="002E505F">
              <w:rPr>
                <w:rFonts w:cstheme="minorHAnsi"/>
              </w:rPr>
              <w:t>, které pigment obsahovaly ve vysoké koncentraci. Přesto je</w:t>
            </w:r>
          </w:p>
          <w:p w14:paraId="17EBD991" w14:textId="1DFF059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možné uvažovat také o mladší úpravě.</w:t>
            </w:r>
          </w:p>
          <w:p w14:paraId="5B855D1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06432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Sekundární vrstvy - jsou patrně přítomné u všech studovaných vzorků. Jednoznačně byla identifikována jedna</w:t>
            </w:r>
          </w:p>
          <w:p w14:paraId="614B00D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fáze přemaleb, která se u všech vzorků opakuje. Je tvořena vždy bílým podkladem s vysokým obsahem zinkové</w:t>
            </w:r>
          </w:p>
          <w:p w14:paraId="156C117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běloby (charakteristicky nazelenale </w:t>
            </w:r>
            <w:proofErr w:type="spellStart"/>
            <w:r w:rsidRPr="002E505F">
              <w:rPr>
                <w:rFonts w:cstheme="minorHAnsi"/>
              </w:rPr>
              <w:t>luminuje</w:t>
            </w:r>
            <w:proofErr w:type="spellEnd"/>
            <w:r w:rsidRPr="002E505F">
              <w:rPr>
                <w:rFonts w:cstheme="minorHAnsi"/>
              </w:rPr>
              <w:t xml:space="preserve"> po excitaci UV světlem), na ní následuje barevná úprava provedená</w:t>
            </w:r>
          </w:p>
          <w:p w14:paraId="6DE8035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jedné vrstvě (vzorek V1, V2, V4b) nebo dvou barevně odlišných nánosech (V2, V3, V4a). U těchto vzorků</w:t>
            </w:r>
          </w:p>
          <w:p w14:paraId="78D5D289" w14:textId="20E61393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lze však na základě propojení barevných vrstev i složení spíše usuzovat, že se taktéž jedná o jednu etapu úprav.</w:t>
            </w:r>
          </w:p>
          <w:p w14:paraId="3589BE6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FAC42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popisovaného kontextu částečně vybočuje jen vzorek V4a odebraný z inkarnátu jedné z postav. Zde byly</w:t>
            </w:r>
          </w:p>
          <w:p w14:paraId="5845270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identifikovány dvě etapy sekundárních úprav v narůžovělé barevnosti, na nichž následuje ještě velmi tenká sv.</w:t>
            </w:r>
          </w:p>
          <w:p w14:paraId="6FF6025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okrová barevná vrstva. U vrstev nelze ani vyloučit, že se jedná o jednu etapu úprav, která se opakovala. Této</w:t>
            </w:r>
          </w:p>
          <w:p w14:paraId="4BC5A2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interpretaci nasvědčuje shodné složení vrstev podkladu (se zinkovou bělobou) i barevných úprav. Navíc mezi</w:t>
            </w:r>
          </w:p>
          <w:p w14:paraId="403161C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jednotlivými nánosy se nevyskytuje rozhraní, které by jednoznačně indikovalo pozdější aplikaci vrstev.</w:t>
            </w:r>
          </w:p>
          <w:p w14:paraId="7036122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B69F0" w14:textId="4CA2714A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Poslední,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v současnosti prezentovanou úpravu sv. okrovou, nelze blíže charakterizovat ani barevností ani složením. Jedná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se o velmi subtilní vrstvu o podobném složení jako mají spodní vrstvy. Z těchto důvodů nelze vyloučit ani</w:t>
            </w:r>
          </w:p>
          <w:p w14:paraId="3EEC0457" w14:textId="0EE0F808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variantu, že se jedná stále o součást staršího souvrství nebo alterovaný povrch těchto vrstev.</w:t>
            </w:r>
          </w:p>
          <w:p w14:paraId="6797FDB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6F43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Paleta užitých materiálů v nejstarších vrstvách odpovídá době vzniku maleb. Omítková vrstva je patrně</w:t>
            </w:r>
          </w:p>
          <w:p w14:paraId="6A7DE47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tvořena slabě hydraulickým vápnem se zvýšeným obsahem železitých složek, které dávají omítkové vrstvě</w:t>
            </w:r>
          </w:p>
          <w:p w14:paraId="7AB3587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charakteristickou načervenalou barevnost. Barevný tón omítky mohl být vyvolán nebo podpořen také užitým</w:t>
            </w:r>
          </w:p>
          <w:p w14:paraId="4D55AAE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kamenivem. Nelze ani vyloučit (méně pravděpodobná varianta), že omítka mohla být také záměrně tónována</w:t>
            </w:r>
          </w:p>
          <w:p w14:paraId="6A89C8C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přídavkem zemitých pigmentů červeného odstínu. Následující vrstvy podkladu jsou také patrně vápenné (i</w:t>
            </w:r>
          </w:p>
          <w:p w14:paraId="42E7DC2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když se zvýšeným obsahem organických složek) s přídavkem země zelené a červené hlinky, jejichž zastoupení</w:t>
            </w:r>
          </w:p>
          <w:p w14:paraId="379DE8CE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v různých vzorcích variují. </w:t>
            </w:r>
          </w:p>
          <w:p w14:paraId="4C5CD86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5DBA2" w14:textId="603F66A5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případě modrého podkladu u vzorku V3 je podklad tónovaný přídavkem smaltu,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jehož modrý odstín je v současnosti světlejší v důsledku odbarvení smaltových zrn pozorovaných v</w:t>
            </w:r>
            <w:r>
              <w:rPr>
                <w:rFonts w:cstheme="minorHAnsi"/>
              </w:rPr>
              <w:t> </w:t>
            </w:r>
            <w:r w:rsidRPr="002E505F">
              <w:rPr>
                <w:rFonts w:cstheme="minorHAnsi"/>
              </w:rPr>
              <w:t>optickém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 xml:space="preserve">mikroskopu. Barevná vrstva červené </w:t>
            </w:r>
            <w:proofErr w:type="spellStart"/>
            <w:r w:rsidRPr="002E505F">
              <w:rPr>
                <w:rFonts w:cstheme="minorHAnsi"/>
              </w:rPr>
              <w:t>rozkresby</w:t>
            </w:r>
            <w:proofErr w:type="spellEnd"/>
            <w:r w:rsidRPr="002E505F">
              <w:rPr>
                <w:rFonts w:cstheme="minorHAnsi"/>
              </w:rPr>
              <w:t xml:space="preserve"> je patrně také vápenná s obsahem červené hlinky.</w:t>
            </w:r>
          </w:p>
          <w:p w14:paraId="7B51B27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37C6B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Výše popsané souvrství mladších úprav lze odlišit paletou užitých pigmentů a patrně i odlišným složením</w:t>
            </w:r>
          </w:p>
          <w:p w14:paraId="75CE636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pojiva. Bílý podklad je z hlavních složek tvořen zinkovou bělobou, příměsí uhličitanu vápenatého a bílé hlinky.</w:t>
            </w:r>
          </w:p>
          <w:p w14:paraId="09C8E80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Barevná úprava přemalby obsahuje podobnou paletu bělob, barevné pigmenty jsou umělý ultramarín ve vzorku</w:t>
            </w:r>
          </w:p>
          <w:p w14:paraId="7B79F43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modré V1, žlutá je patrně chromová nebo zinková žluť (všechny pigmenty lze v nástěnném malířství nalézt</w:t>
            </w:r>
          </w:p>
          <w:p w14:paraId="109B9BA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od 2. pol. 19. století), zelený pigment v zelené přemalbě vzorku V3 je pravděpodobně </w:t>
            </w:r>
            <w:proofErr w:type="spellStart"/>
            <w:r w:rsidRPr="002E505F">
              <w:rPr>
                <w:rFonts w:cstheme="minorHAnsi"/>
              </w:rPr>
              <w:t>chromoxid</w:t>
            </w:r>
            <w:proofErr w:type="spellEnd"/>
            <w:r w:rsidRPr="002E505F">
              <w:rPr>
                <w:rFonts w:cstheme="minorHAnsi"/>
              </w:rPr>
              <w:t>. Červený</w:t>
            </w:r>
          </w:p>
          <w:p w14:paraId="1C5DF0D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pigment inkarnátu u vzorku V4a je tvořen hlinkou. </w:t>
            </w:r>
          </w:p>
          <w:p w14:paraId="3DB0A484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AE56D1" w14:textId="5AEC7E28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Pojivo přemaleb je patrně proteinového původu. Vzhledem</w:t>
            </w:r>
          </w:p>
          <w:p w14:paraId="074555EA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 proměnlivému obsahu uhličitanu vápenatého i výsledkům mikrochemických testů provedených na vrstvě</w:t>
            </w:r>
          </w:p>
          <w:p w14:paraId="09FD982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zelené přemalby u vzorku V3 (vrstva 5), lze pojivo přemalby obecně charakterizovat jako proteinové (s malým</w:t>
            </w:r>
          </w:p>
          <w:p w14:paraId="0AA32935" w14:textId="60C2AEBD" w:rsidR="002E505F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obsahem vysýchavých olejů) a techniku přemalby označit jako secco nebo temperu.</w:t>
            </w:r>
          </w:p>
          <w:p w14:paraId="1470A77E" w14:textId="4A83216F" w:rsidR="0065280A" w:rsidRPr="002E505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E505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E505F" w14:paraId="6588E497" w14:textId="77777777" w:rsidTr="00CF54D3">
        <w:tc>
          <w:tcPr>
            <w:tcW w:w="10060" w:type="dxa"/>
          </w:tcPr>
          <w:p w14:paraId="6A3A9C3E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05F" w14:paraId="24BB7D60" w14:textId="77777777" w:rsidTr="00CF54D3">
        <w:tc>
          <w:tcPr>
            <w:tcW w:w="10060" w:type="dxa"/>
          </w:tcPr>
          <w:p w14:paraId="4FB66E8A" w14:textId="77777777" w:rsidR="00AA48FC" w:rsidRPr="002E505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E505F" w:rsidRDefault="0022194F" w:rsidP="00821499">
      <w:pPr>
        <w:spacing w:line="240" w:lineRule="auto"/>
        <w:rPr>
          <w:rFonts w:cstheme="minorHAnsi"/>
        </w:rPr>
      </w:pPr>
    </w:p>
    <w:sectPr w:rsidR="0022194F" w:rsidRPr="002E505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613ED" w14:textId="77777777" w:rsidR="001E1EF4" w:rsidRDefault="001E1EF4" w:rsidP="00AA48FC">
      <w:pPr>
        <w:spacing w:after="0" w:line="240" w:lineRule="auto"/>
      </w:pPr>
      <w:r>
        <w:separator/>
      </w:r>
    </w:p>
  </w:endnote>
  <w:endnote w:type="continuationSeparator" w:id="0">
    <w:p w14:paraId="60F36D2B" w14:textId="77777777" w:rsidR="001E1EF4" w:rsidRDefault="001E1EF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SansMT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F46F6" w14:textId="77777777" w:rsidR="001E1EF4" w:rsidRDefault="001E1EF4" w:rsidP="00AA48FC">
      <w:pPr>
        <w:spacing w:after="0" w:line="240" w:lineRule="auto"/>
      </w:pPr>
      <w:r>
        <w:separator/>
      </w:r>
    </w:p>
  </w:footnote>
  <w:footnote w:type="continuationSeparator" w:id="0">
    <w:p w14:paraId="42934FEB" w14:textId="77777777" w:rsidR="001E1EF4" w:rsidRDefault="001E1EF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567D"/>
    <w:rsid w:val="00036877"/>
    <w:rsid w:val="0007253D"/>
    <w:rsid w:val="000A3395"/>
    <w:rsid w:val="000A6440"/>
    <w:rsid w:val="000E4F78"/>
    <w:rsid w:val="001E1EF4"/>
    <w:rsid w:val="0021097B"/>
    <w:rsid w:val="0022194F"/>
    <w:rsid w:val="00240FF4"/>
    <w:rsid w:val="002E505F"/>
    <w:rsid w:val="0032381A"/>
    <w:rsid w:val="003449DF"/>
    <w:rsid w:val="003D0950"/>
    <w:rsid w:val="00494840"/>
    <w:rsid w:val="00524CE0"/>
    <w:rsid w:val="005A54E0"/>
    <w:rsid w:val="005B436B"/>
    <w:rsid w:val="005C155B"/>
    <w:rsid w:val="005F7C2F"/>
    <w:rsid w:val="00635DF4"/>
    <w:rsid w:val="0065280A"/>
    <w:rsid w:val="00821499"/>
    <w:rsid w:val="009A03AE"/>
    <w:rsid w:val="009E1CCA"/>
    <w:rsid w:val="009F39F0"/>
    <w:rsid w:val="009F7394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1144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2022-11-24T10:39:00Z</dcterms:created>
  <dcterms:modified xsi:type="dcterms:W3CDTF">2022-11-24T10:41:00Z</dcterms:modified>
</cp:coreProperties>
</file>