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216A1E" w:rsidTr="00CF54D3">
        <w:tc>
          <w:tcPr>
            <w:tcW w:w="4606" w:type="dxa"/>
          </w:tcPr>
          <w:p w:rsidR="0022194F" w:rsidRPr="00216A1E" w:rsidRDefault="0022194F" w:rsidP="00216A1E">
            <w:pPr>
              <w:rPr>
                <w:rFonts w:cstheme="minorHAnsi"/>
                <w:b/>
                <w:sz w:val="24"/>
                <w:szCs w:val="24"/>
              </w:rPr>
            </w:pPr>
            <w:r w:rsidRPr="00216A1E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216A1E" w:rsidRDefault="0022194F" w:rsidP="00216A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216A1E" w:rsidTr="00CF54D3">
        <w:tc>
          <w:tcPr>
            <w:tcW w:w="4606" w:type="dxa"/>
          </w:tcPr>
          <w:p w:rsidR="0022194F" w:rsidRPr="00216A1E" w:rsidRDefault="0022194F" w:rsidP="00216A1E">
            <w:pPr>
              <w:rPr>
                <w:rFonts w:cstheme="minorHAnsi"/>
                <w:b/>
                <w:sz w:val="24"/>
                <w:szCs w:val="24"/>
              </w:rPr>
            </w:pPr>
            <w:r w:rsidRPr="00216A1E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216A1E" w:rsidRDefault="003F13D5" w:rsidP="00216A1E">
            <w:pPr>
              <w:rPr>
                <w:rFonts w:cstheme="minorHAnsi"/>
                <w:sz w:val="24"/>
                <w:szCs w:val="24"/>
              </w:rPr>
            </w:pPr>
            <w:r w:rsidRPr="00216A1E">
              <w:rPr>
                <w:rFonts w:cstheme="minorHAnsi"/>
                <w:sz w:val="24"/>
                <w:szCs w:val="24"/>
              </w:rPr>
              <w:t>1, 2, 3, 4</w:t>
            </w:r>
            <w:r w:rsidR="00216A1E">
              <w:rPr>
                <w:rFonts w:cstheme="minorHAnsi"/>
                <w:sz w:val="24"/>
                <w:szCs w:val="24"/>
              </w:rPr>
              <w:t>, 1a, 2a</w:t>
            </w:r>
          </w:p>
        </w:tc>
      </w:tr>
      <w:tr w:rsidR="00AA48FC" w:rsidRPr="00216A1E" w:rsidTr="00CF54D3">
        <w:tc>
          <w:tcPr>
            <w:tcW w:w="4606" w:type="dxa"/>
          </w:tcPr>
          <w:p w:rsidR="00AA48FC" w:rsidRPr="00216A1E" w:rsidRDefault="00AA48FC" w:rsidP="00216A1E">
            <w:pPr>
              <w:rPr>
                <w:rFonts w:cstheme="minorHAnsi"/>
                <w:b/>
                <w:sz w:val="24"/>
                <w:szCs w:val="24"/>
              </w:rPr>
            </w:pPr>
            <w:r w:rsidRPr="00216A1E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216A1E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216A1E" w:rsidRDefault="00487209" w:rsidP="00216A1E">
            <w:pPr>
              <w:rPr>
                <w:rFonts w:cstheme="minorHAnsi"/>
                <w:sz w:val="24"/>
                <w:szCs w:val="24"/>
              </w:rPr>
            </w:pPr>
            <w:r w:rsidRPr="00216A1E">
              <w:rPr>
                <w:rFonts w:cstheme="minorHAnsi"/>
                <w:sz w:val="24"/>
                <w:szCs w:val="24"/>
              </w:rPr>
              <w:t>140</w:t>
            </w:r>
          </w:p>
        </w:tc>
      </w:tr>
      <w:tr w:rsidR="0022194F" w:rsidRPr="00216A1E" w:rsidTr="00CF54D3">
        <w:tc>
          <w:tcPr>
            <w:tcW w:w="4606" w:type="dxa"/>
          </w:tcPr>
          <w:p w:rsidR="0022194F" w:rsidRPr="00216A1E" w:rsidRDefault="0022194F" w:rsidP="00216A1E">
            <w:pPr>
              <w:rPr>
                <w:rFonts w:cstheme="minorHAnsi"/>
                <w:b/>
                <w:sz w:val="24"/>
                <w:szCs w:val="24"/>
              </w:rPr>
            </w:pPr>
            <w:r w:rsidRPr="00216A1E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216A1E" w:rsidRDefault="007F6962" w:rsidP="00216A1E">
            <w:pPr>
              <w:rPr>
                <w:rFonts w:cstheme="minorHAnsi"/>
                <w:sz w:val="24"/>
                <w:szCs w:val="24"/>
              </w:rPr>
            </w:pPr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Jičín </w:t>
            </w:r>
            <w:proofErr w:type="spellStart"/>
            <w:r w:rsidRPr="00216A1E">
              <w:rPr>
                <w:rFonts w:cstheme="minorHAnsi"/>
                <w:color w:val="000000"/>
                <w:sz w:val="24"/>
                <w:szCs w:val="24"/>
              </w:rPr>
              <w:t>Sedličky</w:t>
            </w:r>
            <w:proofErr w:type="spellEnd"/>
          </w:p>
        </w:tc>
      </w:tr>
      <w:tr w:rsidR="0022194F" w:rsidRPr="00216A1E" w:rsidTr="00CF54D3">
        <w:tc>
          <w:tcPr>
            <w:tcW w:w="4606" w:type="dxa"/>
          </w:tcPr>
          <w:p w:rsidR="0022194F" w:rsidRPr="00216A1E" w:rsidRDefault="0022194F" w:rsidP="00216A1E">
            <w:pPr>
              <w:rPr>
                <w:rFonts w:cstheme="minorHAnsi"/>
                <w:b/>
                <w:sz w:val="24"/>
                <w:szCs w:val="24"/>
              </w:rPr>
            </w:pPr>
            <w:r w:rsidRPr="00216A1E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216A1E" w:rsidRDefault="007F6962" w:rsidP="00216A1E">
            <w:pPr>
              <w:rPr>
                <w:rFonts w:cstheme="minorHAnsi"/>
                <w:sz w:val="24"/>
                <w:szCs w:val="24"/>
              </w:rPr>
            </w:pPr>
            <w:r w:rsidRPr="00216A1E">
              <w:rPr>
                <w:rFonts w:cstheme="minorHAnsi"/>
                <w:color w:val="000000"/>
                <w:sz w:val="24"/>
                <w:szCs w:val="24"/>
              </w:rPr>
              <w:t>Valdštejnská lodžie</w:t>
            </w:r>
          </w:p>
        </w:tc>
      </w:tr>
      <w:tr w:rsidR="0022194F" w:rsidRPr="00216A1E" w:rsidTr="00CF54D3">
        <w:tc>
          <w:tcPr>
            <w:tcW w:w="4606" w:type="dxa"/>
          </w:tcPr>
          <w:p w:rsidR="0022194F" w:rsidRPr="00216A1E" w:rsidRDefault="0022194F" w:rsidP="00216A1E">
            <w:pPr>
              <w:rPr>
                <w:rFonts w:cstheme="minorHAnsi"/>
                <w:b/>
                <w:sz w:val="24"/>
                <w:szCs w:val="24"/>
              </w:rPr>
            </w:pPr>
            <w:r w:rsidRPr="00216A1E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B02400" w:rsidRPr="004A042F" w:rsidRDefault="00B02400" w:rsidP="00B02400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A042F">
              <w:rPr>
                <w:rFonts w:cstheme="minorHAnsi"/>
                <w:bCs/>
                <w:sz w:val="24"/>
                <w:szCs w:val="24"/>
              </w:rPr>
              <w:t xml:space="preserve">I. Předmětem průzkumu jsou čtyři vzorky odebrané z dochované malby iluzivního okna v jednom ze tří zaslepených oken východního křídla čestného dvora Valdštejnské lodžie v Jičíně </w:t>
            </w:r>
            <w:proofErr w:type="spellStart"/>
            <w:r w:rsidRPr="004A042F">
              <w:rPr>
                <w:rFonts w:cstheme="minorHAnsi"/>
                <w:bCs/>
                <w:sz w:val="24"/>
                <w:szCs w:val="24"/>
              </w:rPr>
              <w:t>Sedličkách</w:t>
            </w:r>
            <w:proofErr w:type="spellEnd"/>
            <w:r w:rsidRPr="004A042F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:rsidR="00B02400" w:rsidRDefault="00B02400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="007F6962" w:rsidRPr="00216A1E" w:rsidRDefault="007F6962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Vzorky k analýze: </w:t>
            </w:r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K analýze byly dodány čtyři vzorky označené zadavatelem: </w:t>
            </w:r>
          </w:p>
          <w:p w:rsidR="007F6962" w:rsidRPr="00216A1E" w:rsidRDefault="007F6962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č. 1 </w:t>
            </w:r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– povrch omítky s malbou ve výšce 22 cm od kamenného parapetu </w:t>
            </w:r>
          </w:p>
          <w:p w:rsidR="007F6962" w:rsidRPr="00216A1E" w:rsidRDefault="007F6962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č. 2 </w:t>
            </w:r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– cihla a malta ze spáry ve výšce 22 cm od kamenného parapetu a hloubce 2 cm </w:t>
            </w:r>
          </w:p>
          <w:p w:rsidR="007F6962" w:rsidRPr="00216A1E" w:rsidRDefault="007F6962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č. 3 </w:t>
            </w:r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– omítka ve výšce 44 cm od kamenného parapetu </w:t>
            </w:r>
          </w:p>
          <w:p w:rsidR="0022194F" w:rsidRPr="00216A1E" w:rsidRDefault="007F6962" w:rsidP="00216A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č. 4 </w:t>
            </w:r>
            <w:r w:rsidRPr="00216A1E">
              <w:rPr>
                <w:rFonts w:cstheme="minorHAnsi"/>
                <w:color w:val="000000"/>
                <w:sz w:val="24"/>
                <w:szCs w:val="24"/>
              </w:rPr>
              <w:t>– malta ze spáry ve výšce 44 cm od kamenného parapetu a hloubce 2,5 cm</w:t>
            </w:r>
          </w:p>
          <w:p w:rsidR="00487209" w:rsidRPr="00487209" w:rsidRDefault="00487209" w:rsidP="00216A1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487209" w:rsidRPr="00487209" w:rsidRDefault="00487209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87209">
              <w:rPr>
                <w:rFonts w:cstheme="minorHAnsi"/>
                <w:b/>
                <w:color w:val="000000"/>
                <w:sz w:val="24"/>
                <w:szCs w:val="24"/>
              </w:rPr>
              <w:t>II. Předmětem průzkumu jsou dva vzorky odebrané po provedení odsolovacích cyklů</w:t>
            </w:r>
            <w:r w:rsidRPr="00487209">
              <w:rPr>
                <w:rFonts w:cstheme="minorHAnsi"/>
                <w:color w:val="000000"/>
                <w:sz w:val="24"/>
                <w:szCs w:val="24"/>
              </w:rPr>
              <w:t xml:space="preserve"> z dochované malby iluzivního okna (druhotně zazděného) severně od portálu východního křídla. Okenní parapet se nachází ve výšce 210 cm od země. Počet provedených odsolovacích cyklů: 3 (srpen - říjen 2009). </w:t>
            </w:r>
          </w:p>
          <w:p w:rsidR="00487209" w:rsidRPr="00487209" w:rsidRDefault="00487209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8720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Vzorky k analýze: </w:t>
            </w:r>
            <w:r w:rsidRPr="00487209">
              <w:rPr>
                <w:rFonts w:cstheme="minorHAnsi"/>
                <w:color w:val="000000"/>
                <w:sz w:val="24"/>
                <w:szCs w:val="24"/>
              </w:rPr>
              <w:t xml:space="preserve">K analýze byly dodány dva vzorky označené zadavatelem jako: </w:t>
            </w:r>
          </w:p>
          <w:p w:rsidR="00487209" w:rsidRPr="00487209" w:rsidRDefault="00487209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8720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č.1a </w:t>
            </w:r>
            <w:r w:rsidRPr="00487209">
              <w:rPr>
                <w:rFonts w:cstheme="minorHAnsi"/>
                <w:color w:val="000000"/>
                <w:sz w:val="24"/>
                <w:szCs w:val="24"/>
              </w:rPr>
              <w:t xml:space="preserve">– povrch omítky s malbou ve výšce 44 cm od kamenného parapetu </w:t>
            </w:r>
          </w:p>
          <w:p w:rsidR="00487209" w:rsidRPr="00216A1E" w:rsidRDefault="00487209" w:rsidP="00216A1E">
            <w:pPr>
              <w:rPr>
                <w:rFonts w:cstheme="minorHAnsi"/>
                <w:sz w:val="24"/>
                <w:szCs w:val="24"/>
              </w:rPr>
            </w:pPr>
            <w:r w:rsidRPr="00216A1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č.2a </w:t>
            </w:r>
            <w:r w:rsidRPr="00216A1E">
              <w:rPr>
                <w:rFonts w:cstheme="minorHAnsi"/>
                <w:color w:val="000000"/>
                <w:sz w:val="24"/>
                <w:szCs w:val="24"/>
              </w:rPr>
              <w:t>– malta ze spáry ve výšce 44 cm od kamenného parapetu a hloubce 2 cm.</w:t>
            </w:r>
          </w:p>
        </w:tc>
      </w:tr>
      <w:tr w:rsidR="0022194F" w:rsidRPr="00216A1E" w:rsidTr="00CF54D3">
        <w:tc>
          <w:tcPr>
            <w:tcW w:w="4606" w:type="dxa"/>
          </w:tcPr>
          <w:p w:rsidR="0022194F" w:rsidRPr="00216A1E" w:rsidRDefault="0022194F" w:rsidP="00216A1E">
            <w:pPr>
              <w:rPr>
                <w:rFonts w:cstheme="minorHAnsi"/>
                <w:b/>
                <w:sz w:val="24"/>
                <w:szCs w:val="24"/>
              </w:rPr>
            </w:pPr>
            <w:r w:rsidRPr="00216A1E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216A1E" w:rsidRDefault="0022194F" w:rsidP="00216A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216A1E" w:rsidTr="00CF54D3">
        <w:tc>
          <w:tcPr>
            <w:tcW w:w="4606" w:type="dxa"/>
          </w:tcPr>
          <w:p w:rsidR="0022194F" w:rsidRPr="00216A1E" w:rsidRDefault="0022194F" w:rsidP="00216A1E">
            <w:pPr>
              <w:rPr>
                <w:rFonts w:cstheme="minorHAnsi"/>
                <w:b/>
                <w:sz w:val="24"/>
                <w:szCs w:val="24"/>
              </w:rPr>
            </w:pPr>
            <w:r w:rsidRPr="00216A1E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216A1E" w:rsidRDefault="007F6962" w:rsidP="00216A1E">
            <w:pPr>
              <w:rPr>
                <w:rFonts w:cstheme="minorHAnsi"/>
                <w:sz w:val="24"/>
                <w:szCs w:val="24"/>
              </w:rPr>
            </w:pPr>
            <w:r w:rsidRPr="00216A1E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216A1E" w:rsidTr="00CF54D3">
        <w:tc>
          <w:tcPr>
            <w:tcW w:w="4606" w:type="dxa"/>
          </w:tcPr>
          <w:p w:rsidR="0022194F" w:rsidRPr="00216A1E" w:rsidRDefault="0022194F" w:rsidP="00216A1E">
            <w:pPr>
              <w:rPr>
                <w:rFonts w:cstheme="minorHAnsi"/>
                <w:b/>
                <w:sz w:val="24"/>
                <w:szCs w:val="24"/>
              </w:rPr>
            </w:pPr>
            <w:r w:rsidRPr="00216A1E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216A1E" w:rsidRDefault="007F6962" w:rsidP="00216A1E">
            <w:pPr>
              <w:rPr>
                <w:rFonts w:cstheme="minorHAnsi"/>
                <w:sz w:val="24"/>
                <w:szCs w:val="24"/>
              </w:rPr>
            </w:pPr>
            <w:r w:rsidRPr="00216A1E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216A1E" w:rsidTr="00CF54D3">
        <w:tc>
          <w:tcPr>
            <w:tcW w:w="4606" w:type="dxa"/>
          </w:tcPr>
          <w:p w:rsidR="0022194F" w:rsidRPr="00216A1E" w:rsidRDefault="0022194F" w:rsidP="00216A1E">
            <w:pPr>
              <w:rPr>
                <w:rFonts w:cstheme="minorHAnsi"/>
                <w:b/>
                <w:sz w:val="24"/>
                <w:szCs w:val="24"/>
              </w:rPr>
            </w:pPr>
            <w:r w:rsidRPr="00216A1E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216A1E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216A1E" w:rsidRDefault="0022194F" w:rsidP="00216A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216A1E" w:rsidTr="00CF54D3">
        <w:tc>
          <w:tcPr>
            <w:tcW w:w="4606" w:type="dxa"/>
          </w:tcPr>
          <w:p w:rsidR="0022194F" w:rsidRPr="00216A1E" w:rsidRDefault="0022194F" w:rsidP="00216A1E">
            <w:pPr>
              <w:rPr>
                <w:rFonts w:cstheme="minorHAnsi"/>
                <w:b/>
                <w:sz w:val="24"/>
                <w:szCs w:val="24"/>
              </w:rPr>
            </w:pPr>
            <w:r w:rsidRPr="00216A1E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216A1E" w:rsidRDefault="00940424" w:rsidP="00216A1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Koli</w:t>
            </w:r>
            <w:bookmarkStart w:id="0" w:name="_GoBack"/>
            <w:bookmarkEnd w:id="0"/>
            <w:r w:rsidR="007F6962" w:rsidRPr="00216A1E">
              <w:rPr>
                <w:rFonts w:cstheme="minorHAnsi"/>
                <w:sz w:val="24"/>
                <w:szCs w:val="24"/>
              </w:rPr>
              <w:t>nk</w:t>
            </w:r>
            <w:r w:rsidR="00455C76">
              <w:rPr>
                <w:rFonts w:cstheme="minorHAnsi"/>
                <w:sz w:val="24"/>
                <w:szCs w:val="24"/>
              </w:rPr>
              <w:t>e</w:t>
            </w:r>
            <w:r w:rsidR="007F6962" w:rsidRPr="00216A1E">
              <w:rPr>
                <w:rFonts w:cstheme="minorHAnsi"/>
                <w:sz w:val="24"/>
                <w:szCs w:val="24"/>
              </w:rPr>
              <w:t>ová</w:t>
            </w:r>
            <w:proofErr w:type="spellEnd"/>
            <w:r w:rsidR="007F6962" w:rsidRPr="00216A1E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216A1E" w:rsidTr="00CF54D3">
        <w:tc>
          <w:tcPr>
            <w:tcW w:w="4606" w:type="dxa"/>
          </w:tcPr>
          <w:p w:rsidR="0022194F" w:rsidRPr="00216A1E" w:rsidRDefault="0022194F" w:rsidP="00216A1E">
            <w:pPr>
              <w:rPr>
                <w:rFonts w:cstheme="minorHAnsi"/>
                <w:b/>
                <w:sz w:val="24"/>
                <w:szCs w:val="24"/>
              </w:rPr>
            </w:pPr>
            <w:r w:rsidRPr="00216A1E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216A1E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216A1E" w:rsidRDefault="00487209" w:rsidP="00216A1E">
            <w:pPr>
              <w:rPr>
                <w:rFonts w:cstheme="minorHAnsi"/>
                <w:sz w:val="24"/>
                <w:szCs w:val="24"/>
              </w:rPr>
            </w:pPr>
            <w:r w:rsidRPr="00216A1E">
              <w:rPr>
                <w:rFonts w:cstheme="minorHAnsi"/>
                <w:sz w:val="24"/>
                <w:szCs w:val="24"/>
              </w:rPr>
              <w:t>25. 11. 2009</w:t>
            </w:r>
          </w:p>
        </w:tc>
      </w:tr>
      <w:tr w:rsidR="005A54E0" w:rsidRPr="00216A1E" w:rsidTr="00CF54D3">
        <w:tc>
          <w:tcPr>
            <w:tcW w:w="4606" w:type="dxa"/>
          </w:tcPr>
          <w:p w:rsidR="005A54E0" w:rsidRPr="00216A1E" w:rsidRDefault="005A54E0" w:rsidP="00216A1E">
            <w:pPr>
              <w:rPr>
                <w:rFonts w:cstheme="minorHAnsi"/>
                <w:b/>
                <w:sz w:val="24"/>
                <w:szCs w:val="24"/>
              </w:rPr>
            </w:pPr>
            <w:r w:rsidRPr="00216A1E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216A1E">
              <w:rPr>
                <w:rFonts w:cstheme="minorHAnsi"/>
                <w:b/>
                <w:sz w:val="24"/>
                <w:szCs w:val="24"/>
              </w:rPr>
              <w:t>databázi</w:t>
            </w:r>
            <w:r w:rsidRPr="00216A1E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216A1E" w:rsidRDefault="00487209" w:rsidP="00216A1E">
            <w:pPr>
              <w:rPr>
                <w:rFonts w:cstheme="minorHAnsi"/>
                <w:sz w:val="24"/>
                <w:szCs w:val="24"/>
              </w:rPr>
            </w:pPr>
            <w:r w:rsidRPr="00216A1E">
              <w:rPr>
                <w:rFonts w:cstheme="minorHAnsi"/>
                <w:sz w:val="24"/>
                <w:szCs w:val="24"/>
              </w:rPr>
              <w:t>2009_3</w:t>
            </w:r>
          </w:p>
        </w:tc>
      </w:tr>
    </w:tbl>
    <w:p w:rsidR="00AA48FC" w:rsidRPr="00216A1E" w:rsidRDefault="00AA48FC" w:rsidP="00216A1E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16A1E" w:rsidTr="00CF54D3">
        <w:tc>
          <w:tcPr>
            <w:tcW w:w="10060" w:type="dxa"/>
          </w:tcPr>
          <w:p w:rsidR="00AA48FC" w:rsidRPr="00216A1E" w:rsidRDefault="00AA48FC" w:rsidP="00216A1E">
            <w:pPr>
              <w:rPr>
                <w:rFonts w:cstheme="minorHAnsi"/>
                <w:b/>
                <w:sz w:val="24"/>
                <w:szCs w:val="24"/>
              </w:rPr>
            </w:pPr>
            <w:r w:rsidRPr="00216A1E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216A1E" w:rsidTr="00CF54D3">
        <w:tc>
          <w:tcPr>
            <w:tcW w:w="10060" w:type="dxa"/>
          </w:tcPr>
          <w:p w:rsidR="00AA48FC" w:rsidRPr="00216A1E" w:rsidRDefault="007F6962" w:rsidP="00216A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U vzorků jsou uvedeny koncentrace v </w:t>
            </w:r>
            <w:proofErr w:type="gramStart"/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hm.% a </w:t>
            </w:r>
            <w:proofErr w:type="spellStart"/>
            <w:r w:rsidRPr="00216A1E">
              <w:rPr>
                <w:rFonts w:cstheme="minorHAnsi"/>
                <w:color w:val="000000"/>
                <w:sz w:val="24"/>
                <w:szCs w:val="24"/>
              </w:rPr>
              <w:t>mmol</w:t>
            </w:r>
            <w:proofErr w:type="spellEnd"/>
            <w:r w:rsidRPr="00216A1E">
              <w:rPr>
                <w:rFonts w:cstheme="minorHAnsi"/>
                <w:color w:val="000000"/>
                <w:sz w:val="24"/>
                <w:szCs w:val="24"/>
              </w:rPr>
              <w:t>/kg</w:t>
            </w:r>
            <w:proofErr w:type="gramEnd"/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. Klasifikace obsahu vodorozpustných solí byla provedena podle rakouské normy </w:t>
            </w:r>
            <w:proofErr w:type="spellStart"/>
            <w:r w:rsidRPr="00216A1E">
              <w:rPr>
                <w:rFonts w:cstheme="minorHAnsi"/>
                <w:color w:val="000000"/>
                <w:sz w:val="24"/>
                <w:szCs w:val="24"/>
              </w:rPr>
              <w:t>Önorm</w:t>
            </w:r>
            <w:proofErr w:type="spellEnd"/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 3355-1.</w:t>
            </w:r>
          </w:p>
          <w:p w:rsidR="007F6962" w:rsidRPr="00216A1E" w:rsidRDefault="007F6962" w:rsidP="00216A1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11"/>
              <w:gridCol w:w="1843"/>
              <w:gridCol w:w="1985"/>
              <w:gridCol w:w="1595"/>
            </w:tblGrid>
            <w:tr w:rsidR="007F6962" w:rsidRPr="00216A1E" w:rsidTr="003F13D5">
              <w:trPr>
                <w:trHeight w:val="302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Hodnocení stupně zasolení dle rakouské normy </w:t>
                  </w:r>
                  <w:proofErr w:type="spellStart"/>
                  <w:r w:rsidRPr="00216A1E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Önorm</w:t>
                  </w:r>
                  <w:proofErr w:type="spellEnd"/>
                  <w:r w:rsidRPr="00216A1E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 3355-1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Sírany </w:t>
                  </w:r>
                </w:p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Chloridy </w:t>
                  </w:r>
                </w:p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Dusičnany </w:t>
                  </w:r>
                </w:p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</w:tr>
            <w:tr w:rsidR="007F6962" w:rsidRPr="00216A1E" w:rsidTr="003F13D5">
              <w:trPr>
                <w:trHeight w:val="144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Nejsou nutná žádná opatření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&lt; 0,10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&lt; 0,03 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&lt; 0,05 </w:t>
                  </w:r>
                </w:p>
              </w:tc>
            </w:tr>
            <w:tr w:rsidR="007F6962" w:rsidRPr="00216A1E" w:rsidTr="003F13D5">
              <w:trPr>
                <w:trHeight w:val="144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Je nutné zvážit dílčí opatření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0,10 – 0,25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0,03 – 0,10 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0,05 – 0,15 </w:t>
                  </w:r>
                </w:p>
              </w:tc>
            </w:tr>
            <w:tr w:rsidR="007F6962" w:rsidRPr="00216A1E" w:rsidTr="003F13D5">
              <w:trPr>
                <w:trHeight w:val="144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Opatření jsou nezbytná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&gt; 0,25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&gt; 0,10 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216A1E" w:rsidRDefault="007F6962" w:rsidP="00216A1E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216A1E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&gt; 0,15 </w:t>
                  </w:r>
                </w:p>
              </w:tc>
            </w:tr>
          </w:tbl>
          <w:p w:rsidR="007F6962" w:rsidRPr="00216A1E" w:rsidRDefault="007F6962" w:rsidP="00216A1E">
            <w:pPr>
              <w:rPr>
                <w:rFonts w:cstheme="minorHAnsi"/>
                <w:sz w:val="24"/>
                <w:szCs w:val="24"/>
              </w:rPr>
            </w:pPr>
          </w:p>
          <w:p w:rsidR="003F13D5" w:rsidRPr="00216A1E" w:rsidRDefault="00487209" w:rsidP="00216A1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Výsledky analýzy I. :</w:t>
            </w:r>
          </w:p>
          <w:p w:rsidR="00487209" w:rsidRPr="00216A1E" w:rsidRDefault="00487209" w:rsidP="00216A1E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9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1340"/>
              <w:gridCol w:w="1340"/>
              <w:gridCol w:w="1420"/>
              <w:gridCol w:w="1420"/>
              <w:gridCol w:w="1740"/>
              <w:gridCol w:w="1740"/>
            </w:tblGrid>
            <w:tr w:rsidR="00487209" w:rsidRPr="00487209" w:rsidTr="00487209">
              <w:trPr>
                <w:trHeight w:val="3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Chloridy (Cl-)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Chloridy (Cl-)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Sírany (SO42-)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Sírany (SO42-)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Dusičnany (NO3-)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Dusičnany (NO3-)</w:t>
                  </w:r>
                </w:p>
              </w:tc>
            </w:tr>
            <w:tr w:rsidR="00487209" w:rsidRPr="00487209" w:rsidTr="00487209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číslo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mmol</w:t>
                  </w:r>
                  <w:proofErr w:type="spellEnd"/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/kg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% hm.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mmol</w:t>
                  </w:r>
                  <w:proofErr w:type="spellEnd"/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/kg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% hm.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mmol</w:t>
                  </w:r>
                  <w:proofErr w:type="spellEnd"/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/kg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% hm.</w:t>
                  </w:r>
                </w:p>
              </w:tc>
            </w:tr>
            <w:tr w:rsidR="00487209" w:rsidRPr="00487209" w:rsidTr="00487209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28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0,1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108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1,04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0,05</w:t>
                  </w:r>
                </w:p>
              </w:tc>
            </w:tr>
            <w:tr w:rsidR="00487209" w:rsidRPr="00487209" w:rsidTr="00487209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0,39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11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0,11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45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0,28</w:t>
                  </w:r>
                </w:p>
              </w:tc>
            </w:tr>
            <w:tr w:rsidR="00487209" w:rsidRPr="00487209" w:rsidTr="00487209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406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1,44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0,38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0,03</w:t>
                  </w:r>
                </w:p>
              </w:tc>
            </w:tr>
            <w:tr w:rsidR="00487209" w:rsidRPr="00487209" w:rsidTr="00487209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32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0,11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0,01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84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0,52</w:t>
                  </w:r>
                </w:p>
              </w:tc>
            </w:tr>
          </w:tbl>
          <w:p w:rsidR="007F6962" w:rsidRPr="00216A1E" w:rsidRDefault="007F6962" w:rsidP="00216A1E">
            <w:pPr>
              <w:rPr>
                <w:rFonts w:cstheme="minorHAnsi"/>
                <w:sz w:val="24"/>
                <w:szCs w:val="24"/>
              </w:rPr>
            </w:pPr>
          </w:p>
          <w:p w:rsidR="00487209" w:rsidRDefault="00487209" w:rsidP="00216A1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Výsledky analýzy II. :</w:t>
            </w:r>
          </w:p>
          <w:p w:rsidR="00216A1E" w:rsidRPr="00216A1E" w:rsidRDefault="00216A1E" w:rsidP="00216A1E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1340"/>
              <w:gridCol w:w="1340"/>
              <w:gridCol w:w="1420"/>
              <w:gridCol w:w="1420"/>
              <w:gridCol w:w="1740"/>
              <w:gridCol w:w="1740"/>
            </w:tblGrid>
            <w:tr w:rsidR="00487209" w:rsidRPr="00487209" w:rsidTr="00487209">
              <w:trPr>
                <w:trHeight w:val="3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Chloridy (Cl-)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Chloridy (Cl-)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Sírany (SO42-)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Sírany (SO42-)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Dusičnany (NO3-)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Dusičnany (NO3-)</w:t>
                  </w:r>
                </w:p>
              </w:tc>
            </w:tr>
            <w:tr w:rsidR="00487209" w:rsidRPr="00487209" w:rsidTr="00487209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číslo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mmol</w:t>
                  </w:r>
                  <w:proofErr w:type="spellEnd"/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/kg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% hm.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mmol</w:t>
                  </w:r>
                  <w:proofErr w:type="spellEnd"/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/kg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% hm.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mmol</w:t>
                  </w:r>
                  <w:proofErr w:type="spellEnd"/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/kg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% hm.</w:t>
                  </w:r>
                </w:p>
              </w:tc>
            </w:tr>
            <w:tr w:rsidR="00487209" w:rsidRPr="00487209" w:rsidTr="00487209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1a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719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2,55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14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0,13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124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0,77</w:t>
                  </w:r>
                </w:p>
              </w:tc>
            </w:tr>
            <w:tr w:rsidR="00487209" w:rsidRPr="00487209" w:rsidTr="00487209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2a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39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0,14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0,01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166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7209" w:rsidRPr="00487209" w:rsidRDefault="00487209" w:rsidP="00216A1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7209">
                    <w:rPr>
                      <w:rFonts w:eastAsia="Times New Roman" w:cstheme="minorHAnsi"/>
                      <w:color w:val="000000"/>
                      <w:lang w:eastAsia="cs-CZ"/>
                    </w:rPr>
                    <w:t>1,03</w:t>
                  </w:r>
                </w:p>
              </w:tc>
            </w:tr>
          </w:tbl>
          <w:p w:rsidR="00487209" w:rsidRPr="00216A1E" w:rsidRDefault="00487209" w:rsidP="00216A1E">
            <w:pPr>
              <w:rPr>
                <w:rFonts w:cstheme="minorHAnsi"/>
                <w:sz w:val="24"/>
                <w:szCs w:val="24"/>
              </w:rPr>
            </w:pPr>
          </w:p>
          <w:p w:rsidR="003F13D5" w:rsidRPr="00216A1E" w:rsidRDefault="003F13D5" w:rsidP="00216A1E">
            <w:pPr>
              <w:rPr>
                <w:rFonts w:cstheme="minorHAnsi"/>
                <w:sz w:val="24"/>
                <w:szCs w:val="24"/>
              </w:rPr>
            </w:pPr>
          </w:p>
          <w:p w:rsidR="00216A1E" w:rsidRPr="00216A1E" w:rsidRDefault="00216A1E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Souhrn výsledků: </w:t>
            </w:r>
          </w:p>
          <w:p w:rsidR="00216A1E" w:rsidRPr="00216A1E" w:rsidRDefault="00216A1E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Analýza I. : </w:t>
            </w:r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Ve všech vzorcích odebraných z omítky na zaslepeném okně byla zjištěna vysoká koncentrace vodorozpustných solí. Zvýšená koncentrace síranů zjištěná ve vzorcích 1 a 3 (na povrchu) může částečně souviset s přítomností síranu vápenatého (sádrovce), který vzniká přeměnou karbonátových materiálů použitých u objektu účinkem kyselých složek z ovzduší. Vysoká koncentrace dusičnanů byla zjištěna především ve spárových maltách a to v koncentracích, které několikanásobně převyšují přirozený obsah anionů v nezasoleném anorganickém materiálu. </w:t>
            </w:r>
          </w:p>
          <w:p w:rsidR="00216A1E" w:rsidRPr="00216A1E" w:rsidRDefault="00216A1E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Velký výkyv v obsahu chloridů v případě vzorku </w:t>
            </w:r>
            <w:proofErr w:type="gramStart"/>
            <w:r w:rsidRPr="00216A1E">
              <w:rPr>
                <w:rFonts w:cstheme="minorHAnsi"/>
                <w:color w:val="000000"/>
                <w:sz w:val="24"/>
                <w:szCs w:val="24"/>
              </w:rPr>
              <w:t>č.3 a obsahu</w:t>
            </w:r>
            <w:proofErr w:type="gramEnd"/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 síranů v případě vzorku č.1 může být způsoben malým množstvím odebraných vzorků a možností lokální zvýšené koncentrace (např. síranová krusta na povrchu). </w:t>
            </w:r>
          </w:p>
          <w:p w:rsidR="00216A1E" w:rsidRPr="00216A1E" w:rsidRDefault="00216A1E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V porovnání s dříve provedenými analýzami je překvapivý zvýšený obsah chloridů v omítce a také mnohem nižší obsah dusičnanů. </w:t>
            </w:r>
          </w:p>
          <w:p w:rsidR="00216A1E" w:rsidRPr="00216A1E" w:rsidRDefault="00216A1E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Pro srovnání s citovanou rakouskou normou: přirozený obsah síranů v anorganických materiálech je &lt; 0,1 % hm., chloridů &lt; 0,03 % </w:t>
            </w:r>
            <w:proofErr w:type="gramStart"/>
            <w:r w:rsidRPr="00216A1E">
              <w:rPr>
                <w:rFonts w:cstheme="minorHAnsi"/>
                <w:color w:val="000000"/>
                <w:sz w:val="24"/>
                <w:szCs w:val="24"/>
              </w:rPr>
              <w:t>hm. a pro</w:t>
            </w:r>
            <w:proofErr w:type="gramEnd"/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 dusičnany koncentrace &lt; 0,05 % hm. </w:t>
            </w:r>
          </w:p>
          <w:p w:rsidR="00216A1E" w:rsidRDefault="00216A1E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color w:val="000000"/>
                <w:sz w:val="24"/>
                <w:szCs w:val="24"/>
              </w:rPr>
              <w:t>Na základě výsledků doporučuji provést ochranná opatření – redukce obsahu vodorozpustných solí odsolením objektu.</w:t>
            </w:r>
          </w:p>
          <w:p w:rsidR="00216A1E" w:rsidRPr="00216A1E" w:rsidRDefault="00216A1E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216A1E" w:rsidRPr="00216A1E" w:rsidRDefault="00216A1E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Analýza II. : </w:t>
            </w:r>
            <w:r w:rsidRPr="00216A1E">
              <w:rPr>
                <w:rFonts w:cstheme="minorHAnsi"/>
                <w:color w:val="000000"/>
                <w:sz w:val="24"/>
                <w:szCs w:val="24"/>
              </w:rPr>
              <w:t>Provedené 3 cykly odsolení povrchu omítky nebyly podle provedených analýz dostačující na snížení obsahu solí pod kritickou hranici. Podle vysokého obsahu chloridů na povrchu omítky (</w:t>
            </w:r>
            <w:proofErr w:type="spellStart"/>
            <w:r w:rsidRPr="00216A1E">
              <w:rPr>
                <w:rFonts w:cstheme="minorHAnsi"/>
                <w:color w:val="000000"/>
                <w:sz w:val="24"/>
                <w:szCs w:val="24"/>
              </w:rPr>
              <w:t>vz</w:t>
            </w:r>
            <w:proofErr w:type="spellEnd"/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. č. 1) lze usuzovat na rozpohybování solí v materiálu a jejich migraci na povrch. Doporučovala bych provést ještě další cykly odsolování. </w:t>
            </w:r>
          </w:p>
          <w:p w:rsidR="00216A1E" w:rsidRPr="00216A1E" w:rsidRDefault="00216A1E" w:rsidP="00216A1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16A1E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Obsah síranů v materiálu se podařilo snížit pod kritickou hranici. Na povrchu však stále zůstává obsah těchto solí zvýšený. </w:t>
            </w:r>
          </w:p>
          <w:p w:rsidR="007F6962" w:rsidRPr="00216A1E" w:rsidRDefault="00216A1E" w:rsidP="00216A1E">
            <w:pPr>
              <w:rPr>
                <w:rFonts w:cstheme="minorHAnsi"/>
                <w:sz w:val="24"/>
                <w:szCs w:val="24"/>
              </w:rPr>
            </w:pPr>
            <w:r w:rsidRPr="00216A1E">
              <w:rPr>
                <w:rFonts w:cstheme="minorHAnsi"/>
                <w:color w:val="000000"/>
                <w:sz w:val="24"/>
                <w:szCs w:val="24"/>
              </w:rPr>
              <w:t xml:space="preserve">Kritický stále zůstává obsah dusičnanů v omítce. V tomto případě by pouze jedním odsolovacím cyklem nebylo dosaženo žádaného výsledku - snížení obsahu solí na jejich přirozený obsah v anorganických materiálech. Nutné je opakované odsolení. </w:t>
            </w:r>
          </w:p>
        </w:tc>
      </w:tr>
    </w:tbl>
    <w:p w:rsidR="009A03AE" w:rsidRPr="00216A1E" w:rsidRDefault="009A03AE" w:rsidP="00216A1E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16A1E" w:rsidTr="00CF54D3">
        <w:tc>
          <w:tcPr>
            <w:tcW w:w="10060" w:type="dxa"/>
          </w:tcPr>
          <w:p w:rsidR="00AA48FC" w:rsidRPr="00216A1E" w:rsidRDefault="00AA48FC" w:rsidP="00216A1E">
            <w:pPr>
              <w:rPr>
                <w:rFonts w:cstheme="minorHAnsi"/>
                <w:b/>
                <w:sz w:val="24"/>
                <w:szCs w:val="24"/>
              </w:rPr>
            </w:pPr>
            <w:r w:rsidRPr="00216A1E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216A1E" w:rsidTr="00CF54D3">
        <w:tc>
          <w:tcPr>
            <w:tcW w:w="10060" w:type="dxa"/>
          </w:tcPr>
          <w:p w:rsidR="00AA48FC" w:rsidRPr="00216A1E" w:rsidRDefault="00AA48FC" w:rsidP="00216A1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216A1E" w:rsidRDefault="0022194F" w:rsidP="00216A1E">
      <w:pPr>
        <w:spacing w:line="240" w:lineRule="auto"/>
        <w:rPr>
          <w:rFonts w:cstheme="minorHAnsi"/>
          <w:sz w:val="24"/>
          <w:szCs w:val="24"/>
        </w:rPr>
      </w:pPr>
    </w:p>
    <w:sectPr w:rsidR="0022194F" w:rsidRPr="00216A1E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B8" w:rsidRDefault="007620B8" w:rsidP="00AA48FC">
      <w:pPr>
        <w:spacing w:after="0" w:line="240" w:lineRule="auto"/>
      </w:pPr>
      <w:r>
        <w:separator/>
      </w:r>
    </w:p>
  </w:endnote>
  <w:endnote w:type="continuationSeparator" w:id="0">
    <w:p w:rsidR="007620B8" w:rsidRDefault="007620B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B8" w:rsidRDefault="007620B8" w:rsidP="00AA48FC">
      <w:pPr>
        <w:spacing w:after="0" w:line="240" w:lineRule="auto"/>
      </w:pPr>
      <w:r>
        <w:separator/>
      </w:r>
    </w:p>
  </w:footnote>
  <w:footnote w:type="continuationSeparator" w:id="0">
    <w:p w:rsidR="007620B8" w:rsidRDefault="007620B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6EEB"/>
    <w:multiLevelType w:val="hybridMultilevel"/>
    <w:tmpl w:val="28CED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16A1E"/>
    <w:rsid w:val="0022194F"/>
    <w:rsid w:val="002A6926"/>
    <w:rsid w:val="003D0950"/>
    <w:rsid w:val="003F13D5"/>
    <w:rsid w:val="00455C76"/>
    <w:rsid w:val="00487209"/>
    <w:rsid w:val="005A54E0"/>
    <w:rsid w:val="005C155B"/>
    <w:rsid w:val="005C774A"/>
    <w:rsid w:val="007620B8"/>
    <w:rsid w:val="007F6962"/>
    <w:rsid w:val="008862E7"/>
    <w:rsid w:val="008E152C"/>
    <w:rsid w:val="00940424"/>
    <w:rsid w:val="009A03AE"/>
    <w:rsid w:val="00A44D1A"/>
    <w:rsid w:val="00AA48FC"/>
    <w:rsid w:val="00B02400"/>
    <w:rsid w:val="00BF132F"/>
    <w:rsid w:val="00C30ACE"/>
    <w:rsid w:val="00C74C8C"/>
    <w:rsid w:val="00CC1EA8"/>
    <w:rsid w:val="00CF54D3"/>
    <w:rsid w:val="00D97E09"/>
    <w:rsid w:val="00E87F20"/>
    <w:rsid w:val="00EA40C0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C4D8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6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6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8</cp:revision>
  <cp:lastPrinted>2021-08-26T10:01:00Z</cp:lastPrinted>
  <dcterms:created xsi:type="dcterms:W3CDTF">2021-09-17T07:39:00Z</dcterms:created>
  <dcterms:modified xsi:type="dcterms:W3CDTF">2021-11-05T10:59:00Z</dcterms:modified>
</cp:coreProperties>
</file>